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sz w:val="52"/>
          <w:szCs w:val="52"/>
        </w:rPr>
      </w:pPr>
      <w:r>
        <w:rPr>
          <w:rFonts w:hint="eastAsia" w:ascii="黑体" w:hAnsi="黑体" w:eastAsia="黑体"/>
          <w:sz w:val="52"/>
          <w:szCs w:val="52"/>
        </w:rPr>
        <w:drawing>
          <wp:inline distT="0" distB="0" distL="0" distR="0">
            <wp:extent cx="1524000" cy="14655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466088"/>
                    </a:xfrm>
                    <a:prstGeom prst="rect">
                      <a:avLst/>
                    </a:prstGeom>
                  </pic:spPr>
                </pic:pic>
              </a:graphicData>
            </a:graphic>
          </wp:inline>
        </w:drawing>
      </w:r>
    </w:p>
    <w:p>
      <w:pPr>
        <w:jc w:val="center"/>
        <w:rPr>
          <w:rFonts w:ascii="黑体" w:hAnsi="黑体" w:eastAsia="黑体"/>
          <w:sz w:val="52"/>
          <w:szCs w:val="52"/>
        </w:rPr>
      </w:pPr>
      <w:bookmarkStart w:id="0" w:name="_GoBack"/>
      <w:r>
        <w:rPr>
          <w:rFonts w:hint="eastAsia" w:ascii="黑体" w:hAnsi="黑体" w:eastAsia="黑体"/>
          <w:sz w:val="52"/>
          <w:szCs w:val="52"/>
        </w:rPr>
        <w:t>山西能源学院</w:t>
      </w:r>
    </w:p>
    <w:p>
      <w:pPr>
        <w:jc w:val="center"/>
        <w:rPr>
          <w:rFonts w:ascii="黑体" w:hAnsi="黑体" w:eastAsia="黑体"/>
          <w:sz w:val="52"/>
          <w:szCs w:val="52"/>
        </w:rPr>
      </w:pPr>
      <w:r>
        <w:rPr>
          <w:rFonts w:hint="eastAsia" w:ascii="黑体" w:hAnsi="黑体" w:eastAsia="黑体"/>
          <w:sz w:val="52"/>
          <w:szCs w:val="52"/>
        </w:rPr>
        <w:t>2018年毕业生就业质量报告</w:t>
      </w:r>
    </w:p>
    <w:bookmarkEnd w:id="0"/>
    <w:p>
      <w:pPr>
        <w:jc w:val="center"/>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ind w:firstLine="3360" w:firstLineChars="700"/>
        <w:rPr>
          <w:rFonts w:ascii="黑体" w:hAnsi="黑体" w:eastAsia="黑体"/>
          <w:sz w:val="48"/>
          <w:szCs w:val="48"/>
        </w:rPr>
      </w:pPr>
    </w:p>
    <w:p>
      <w:pPr>
        <w:ind w:firstLine="2520" w:firstLineChars="700"/>
        <w:rPr>
          <w:rFonts w:ascii="黑体" w:hAnsi="黑体" w:eastAsia="黑体"/>
          <w:sz w:val="36"/>
          <w:szCs w:val="36"/>
        </w:rPr>
      </w:pPr>
    </w:p>
    <w:p>
      <w:pPr>
        <w:ind w:firstLine="2520" w:firstLineChars="700"/>
        <w:rPr>
          <w:rFonts w:ascii="黑体" w:hAnsi="黑体" w:eastAsia="黑体"/>
          <w:sz w:val="36"/>
          <w:szCs w:val="36"/>
        </w:rPr>
      </w:pPr>
      <w:r>
        <w:rPr>
          <w:rFonts w:hint="eastAsia" w:ascii="黑体" w:hAnsi="黑体" w:eastAsia="黑体"/>
          <w:sz w:val="36"/>
          <w:szCs w:val="36"/>
        </w:rPr>
        <w:t>二０一八年十二月</w:t>
      </w:r>
    </w:p>
    <w:p>
      <w:pPr>
        <w:ind w:firstLine="1800" w:firstLineChars="500"/>
        <w:rPr>
          <w:rFonts w:ascii="黑体" w:hAnsi="黑体" w:eastAsia="黑体"/>
          <w:sz w:val="36"/>
          <w:szCs w:val="36"/>
        </w:rPr>
        <w:sectPr>
          <w:footerReference r:id="rId3" w:type="default"/>
          <w:pgSz w:w="11906" w:h="16838"/>
          <w:pgMar w:top="1440" w:right="1800" w:bottom="1440" w:left="1800" w:header="851" w:footer="992" w:gutter="0"/>
          <w:cols w:space="425" w:num="1"/>
          <w:docGrid w:type="lines" w:linePitch="312" w:charSpace="0"/>
        </w:sectPr>
      </w:pPr>
    </w:p>
    <w:p>
      <w:pPr>
        <w:pStyle w:val="19"/>
        <w:numPr>
          <w:ilvl w:val="0"/>
          <w:numId w:val="1"/>
        </w:numPr>
        <w:ind w:firstLineChars="0"/>
        <w:rPr>
          <w:rFonts w:ascii="黑体" w:hAnsi="黑体" w:eastAsia="黑体"/>
          <w:sz w:val="36"/>
          <w:szCs w:val="36"/>
        </w:rPr>
      </w:pPr>
      <w:r>
        <w:rPr>
          <w:rFonts w:hint="eastAsia" w:ascii="黑体" w:hAnsi="黑体" w:eastAsia="黑体"/>
          <w:sz w:val="36"/>
          <w:szCs w:val="36"/>
        </w:rPr>
        <w:t>学院简介</w:t>
      </w:r>
    </w:p>
    <w:p>
      <w:pPr>
        <w:pStyle w:val="19"/>
        <w:ind w:firstLine="640"/>
        <w:rPr>
          <w:rFonts w:ascii="华文仿宋" w:hAnsi="华文仿宋" w:eastAsia="华文仿宋"/>
          <w:sz w:val="32"/>
          <w:szCs w:val="32"/>
        </w:rPr>
      </w:pPr>
      <w:r>
        <w:rPr>
          <w:rFonts w:hint="eastAsia" w:ascii="华文仿宋" w:hAnsi="华文仿宋" w:eastAsia="华文仿宋"/>
          <w:sz w:val="32"/>
          <w:szCs w:val="32"/>
        </w:rPr>
        <w:t>山西能源学院是由教育部批准、山西省人民政府举办、我国唯一一所以“能源”冠名的公办本科高校。学院以煤炭、电力、新能源、能源经济管理类专业为主体，主要培养基础理论扎实、专业技能突出、实践动手能力强，为能源行业服务、为区域经济社会发展服务的工程技术人才和管理人才。学院为山西综改实验区重点建设项目，山西省应用型本科试点院校，全国地方高校“产教融合”建设试点院校。</w:t>
      </w:r>
    </w:p>
    <w:p>
      <w:pPr>
        <w:pStyle w:val="19"/>
        <w:ind w:firstLine="640"/>
        <w:rPr>
          <w:rFonts w:ascii="华文仿宋" w:hAnsi="华文仿宋" w:eastAsia="华文仿宋"/>
          <w:sz w:val="32"/>
          <w:szCs w:val="32"/>
        </w:rPr>
      </w:pPr>
      <w:r>
        <w:rPr>
          <w:rFonts w:hint="eastAsia" w:ascii="华文仿宋" w:hAnsi="华文仿宋" w:eastAsia="华文仿宋"/>
          <w:sz w:val="32"/>
          <w:szCs w:val="32"/>
        </w:rPr>
        <w:t>学院有两个校区，分别位于学风浓郁的山西省高校园区和高新技术密集的太原市小店区。校园总占地面积760亩，校舍建筑面积约19万平方米，教学科研仪器设备总价值约1亿元，纸质图书48万余册，电子图书21万册，校内实验实训室65个，校外实习基地63个。现有全日制本、专科在校生7200余人。专任教师300余人，其中副高以上专业技术人员132人，博士学位教师36人，硕士学位以上教师155人。学院现设矿业工程系、安全工程系、地质测绘工程系、机电工程系、电气工程及自动化系、能源与动力工程系、资源与环境工程系、信息能源工程系、计算机与信息工程系、经济管理系、思想政治理论课教学部、基础教学部、继续教育部13个教学机构。有能源与动力工程、机械电子工程、能源与环境系统工程、电气工程及其自动化、财务管理、机械设计制造及其自动化、资源勘查工程、采矿工程、化学工程与工艺、安全工程、能源经济、测绘工程、油气储运工程、车辆工程、新能源材料与器件、信息管理与信息系统、环保设备工程和新能源科学与工程18个本科专业。2018年面向山西招生以外，还面向河南、山东、河北、陕西、湖北、新疆、四川等省份和地区招生。</w:t>
      </w:r>
    </w:p>
    <w:p>
      <w:pPr>
        <w:pStyle w:val="19"/>
        <w:ind w:firstLine="640"/>
        <w:rPr>
          <w:rFonts w:ascii="华文仿宋" w:hAnsi="华文仿宋" w:eastAsia="华文仿宋"/>
          <w:sz w:val="32"/>
          <w:szCs w:val="32"/>
        </w:rPr>
      </w:pPr>
      <w:r>
        <w:rPr>
          <w:rFonts w:hint="eastAsia" w:ascii="华文仿宋" w:hAnsi="华文仿宋" w:eastAsia="华文仿宋"/>
          <w:sz w:val="32"/>
          <w:szCs w:val="32"/>
        </w:rPr>
        <w:t>在多年的办学历程中，山西能源学院逐渐形成了自己的优势:建设了一支基础理论系统全面、专业技能过硬、教风优良、敬业奉献的师资队伍；组建了以工为主、能源见长、与我国产业结构相契合的专业集群，形成了突出实践教学、注重能力培养的课程体系和产教深度融合、校企协同育人的人才培养模式。</w:t>
      </w:r>
    </w:p>
    <w:p>
      <w:pPr>
        <w:pStyle w:val="19"/>
        <w:ind w:firstLine="640"/>
        <w:rPr>
          <w:rFonts w:ascii="华文仿宋" w:hAnsi="华文仿宋" w:eastAsia="华文仿宋"/>
          <w:sz w:val="32"/>
          <w:szCs w:val="32"/>
        </w:rPr>
      </w:pPr>
      <w:r>
        <w:rPr>
          <w:rFonts w:hint="eastAsia" w:ascii="华文仿宋" w:hAnsi="华文仿宋" w:eastAsia="华文仿宋"/>
          <w:sz w:val="32"/>
          <w:szCs w:val="32"/>
        </w:rPr>
        <w:t>作为应用型本科高校，学院与省内外30余家大型骨干企业（母公司）签订了战略合作协议。这些企业为学院的实践教学和学生的就业创业提供了有利条件，在教学、科研、实习实训和就业创业等领域开展了广泛而密切的合作。</w:t>
      </w:r>
    </w:p>
    <w:p>
      <w:pPr>
        <w:pStyle w:val="19"/>
        <w:ind w:firstLine="640"/>
        <w:rPr>
          <w:rFonts w:ascii="黑体" w:hAnsi="黑体" w:eastAsia="黑体"/>
          <w:color w:val="000000" w:themeColor="text1"/>
          <w:sz w:val="36"/>
          <w:szCs w:val="36"/>
          <w14:textFill>
            <w14:solidFill>
              <w14:schemeClr w14:val="tx1"/>
            </w14:solidFill>
          </w14:textFill>
        </w:rPr>
      </w:pPr>
      <w:r>
        <w:rPr>
          <w:rFonts w:hint="eastAsia" w:ascii="华文仿宋" w:hAnsi="华文仿宋" w:eastAsia="华文仿宋"/>
          <w:sz w:val="32"/>
          <w:szCs w:val="32"/>
        </w:rPr>
        <w:t>面向未来，学院将牢牢把握新能源类应用型普通本科高校的办学定位，全面推进师资队伍、学科专业、实验实训和课程体系建设，创新人才培养模式，着力提升办学实力，努力把山西能源学院建设成一所学生满意、企业满意、政府满意、社会满意的高等学校。</w:t>
      </w:r>
    </w:p>
    <w:p>
      <w:pPr>
        <w:pStyle w:val="19"/>
        <w:ind w:firstLine="0" w:firstLineChars="0"/>
        <w:rPr>
          <w:rFonts w:ascii="黑体" w:hAnsi="黑体" w:eastAsia="黑体"/>
          <w:color w:val="000000" w:themeColor="text1"/>
          <w:sz w:val="36"/>
          <w:szCs w:val="36"/>
          <w14:textFill>
            <w14:solidFill>
              <w14:schemeClr w14:val="tx1"/>
            </w14:solidFill>
          </w14:textFill>
        </w:rPr>
      </w:pPr>
    </w:p>
    <w:p>
      <w:pPr>
        <w:pStyle w:val="19"/>
        <w:ind w:firstLine="0" w:firstLineChars="0"/>
        <w:rPr>
          <w:rFonts w:ascii="黑体" w:hAnsi="黑体" w:eastAsia="黑体"/>
          <w:color w:val="000000" w:themeColor="text1"/>
          <w:sz w:val="36"/>
          <w:szCs w:val="36"/>
          <w14:textFill>
            <w14:solidFill>
              <w14:schemeClr w14:val="tx1"/>
            </w14:solidFill>
          </w14:textFill>
        </w:rPr>
      </w:pPr>
    </w:p>
    <w:p>
      <w:pPr>
        <w:pStyle w:val="19"/>
        <w:ind w:firstLine="0" w:firstLineChars="0"/>
        <w:rPr>
          <w:rFonts w:ascii="黑体" w:hAnsi="黑体" w:eastAsia="黑体"/>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19"/>
        <w:ind w:firstLine="0" w:firstLineChars="0"/>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二、毕业生基本情况</w:t>
      </w:r>
    </w:p>
    <w:p>
      <w:pPr>
        <w:pStyle w:val="19"/>
        <w:ind w:firstLine="0" w:firstLineChars="0"/>
        <w:rPr>
          <w:rFonts w:ascii="华文仿宋" w:hAnsi="华文仿宋" w:eastAsia="华文仿宋"/>
          <w:b/>
          <w:bCs/>
          <w:color w:val="000000" w:themeColor="text1"/>
          <w:sz w:val="32"/>
          <w:szCs w:val="32"/>
          <w14:textFill>
            <w14:solidFill>
              <w14:schemeClr w14:val="tx1"/>
            </w14:solidFill>
          </w14:textFill>
        </w:rPr>
      </w:pPr>
      <w:r>
        <w:rPr>
          <w:rFonts w:hint="eastAsia" w:ascii="华文仿宋" w:hAnsi="华文仿宋" w:eastAsia="华文仿宋"/>
          <w:b/>
          <w:bCs/>
          <w:color w:val="000000" w:themeColor="text1"/>
          <w:sz w:val="32"/>
          <w:szCs w:val="32"/>
          <w14:textFill>
            <w14:solidFill>
              <w14:schemeClr w14:val="tx1"/>
            </w14:solidFill>
          </w14:textFill>
        </w:rPr>
        <w:t>1.毕业生人数及构成</w:t>
      </w:r>
    </w:p>
    <w:p>
      <w:pPr>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学院2018届毕业生共</w:t>
      </w:r>
      <w:r>
        <w:rPr>
          <w:rFonts w:hint="eastAsia" w:ascii="华文仿宋" w:hAnsi="华文仿宋" w:eastAsia="华文仿宋"/>
          <w:b/>
          <w:bCs/>
          <w:color w:val="000000" w:themeColor="text1"/>
          <w:sz w:val="32"/>
          <w:szCs w:val="32"/>
          <w14:textFill>
            <w14:solidFill>
              <w14:schemeClr w14:val="tx1"/>
            </w14:solidFill>
          </w14:textFill>
        </w:rPr>
        <w:t>2530</w:t>
      </w:r>
      <w:r>
        <w:rPr>
          <w:rFonts w:hint="eastAsia" w:ascii="华文仿宋" w:hAnsi="华文仿宋" w:eastAsia="华文仿宋"/>
          <w:color w:val="000000" w:themeColor="text1"/>
          <w:sz w:val="32"/>
          <w:szCs w:val="32"/>
          <w14:textFill>
            <w14:solidFill>
              <w14:schemeClr w14:val="tx1"/>
            </w14:solidFill>
          </w14:textFill>
        </w:rPr>
        <w:t>人，分布于我院七个系的21个本、专科专业。具体分布如下；</w:t>
      </w:r>
    </w:p>
    <w:tbl>
      <w:tblPr>
        <w:tblStyle w:val="15"/>
        <w:tblW w:w="7560" w:type="dxa"/>
        <w:tblInd w:w="0" w:type="dxa"/>
        <w:tblLayout w:type="fixed"/>
        <w:tblCellMar>
          <w:top w:w="15" w:type="dxa"/>
          <w:left w:w="15" w:type="dxa"/>
          <w:bottom w:w="15" w:type="dxa"/>
          <w:right w:w="15" w:type="dxa"/>
        </w:tblCellMar>
      </w:tblPr>
      <w:tblGrid>
        <w:gridCol w:w="1341"/>
        <w:gridCol w:w="1095"/>
        <w:gridCol w:w="805"/>
        <w:gridCol w:w="1081"/>
        <w:gridCol w:w="1080"/>
        <w:gridCol w:w="1080"/>
        <w:gridCol w:w="1078"/>
      </w:tblGrid>
      <w:tr>
        <w:tblPrEx>
          <w:tblLayout w:type="fixed"/>
          <w:tblCellMar>
            <w:top w:w="15" w:type="dxa"/>
            <w:left w:w="15" w:type="dxa"/>
            <w:bottom w:w="15" w:type="dxa"/>
            <w:right w:w="15" w:type="dxa"/>
          </w:tblCellMar>
        </w:tblPrEx>
        <w:trPr>
          <w:trHeight w:val="465" w:hRule="atLeast"/>
        </w:trPr>
        <w:tc>
          <w:tcPr>
            <w:tcW w:w="6482" w:type="dxa"/>
            <w:gridSpan w:val="6"/>
            <w:shd w:val="clear" w:color="auto" w:fill="auto"/>
            <w:vAlign w:val="center"/>
          </w:tcPr>
          <w:p>
            <w:pPr>
              <w:widowControl/>
              <w:jc w:val="center"/>
              <w:textAlignment w:val="center"/>
              <w:rPr>
                <w:rFonts w:ascii="宋体" w:hAnsi="宋体" w:eastAsia="宋体" w:cs="宋体"/>
                <w:color w:val="000000"/>
                <w:sz w:val="32"/>
                <w:szCs w:val="32"/>
              </w:rPr>
            </w:pPr>
            <w:r>
              <w:rPr>
                <w:rStyle w:val="7"/>
                <w:rFonts w:hint="eastAsia" w:ascii="Times New Roman" w:hAnsi="Times New Roman" w:eastAsia="黑体" w:cs="Times New Roman"/>
                <w:sz w:val="24"/>
                <w:szCs w:val="24"/>
              </w:rPr>
              <w:t>表1 本科各专业人数分布表</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316" w:hRule="atLeast"/>
        </w:trPr>
        <w:tc>
          <w:tcPr>
            <w:tcW w:w="1341" w:type="dxa"/>
            <w:tcBorders>
              <w:top w:val="single" w:color="000000" w:sz="18" w:space="0"/>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系部</w:t>
            </w:r>
          </w:p>
        </w:tc>
        <w:tc>
          <w:tcPr>
            <w:tcW w:w="1900" w:type="dxa"/>
            <w:gridSpan w:val="2"/>
            <w:tcBorders>
              <w:top w:val="single" w:color="000000" w:sz="18" w:space="0"/>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w:t>
            </w:r>
          </w:p>
        </w:tc>
        <w:tc>
          <w:tcPr>
            <w:tcW w:w="2161" w:type="dxa"/>
            <w:gridSpan w:val="2"/>
            <w:tcBorders>
              <w:top w:val="single" w:color="000000" w:sz="18" w:space="0"/>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人数</w:t>
            </w:r>
          </w:p>
        </w:tc>
        <w:tc>
          <w:tcPr>
            <w:tcW w:w="1080" w:type="dxa"/>
            <w:tcBorders>
              <w:top w:val="single" w:color="000000" w:sz="18" w:space="0"/>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345" w:hRule="atLeast"/>
        </w:trPr>
        <w:tc>
          <w:tcPr>
            <w:tcW w:w="1341" w:type="dxa"/>
            <w:vMerge w:val="restart"/>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矿业工程系</w:t>
            </w:r>
          </w:p>
        </w:tc>
        <w:tc>
          <w:tcPr>
            <w:tcW w:w="1900"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矿物加工工程</w:t>
            </w:r>
          </w:p>
        </w:tc>
        <w:tc>
          <w:tcPr>
            <w:tcW w:w="2161"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1080"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14.05%</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1341" w:type="dxa"/>
            <w:vMerge w:val="continue"/>
            <w:shd w:val="clear" w:color="auto" w:fill="auto"/>
            <w:vAlign w:val="center"/>
          </w:tcPr>
          <w:p>
            <w:pPr>
              <w:jc w:val="center"/>
              <w:rPr>
                <w:rFonts w:ascii="宋体" w:hAnsi="宋体" w:eastAsia="宋体" w:cs="宋体"/>
                <w:color w:val="000000"/>
                <w:sz w:val="18"/>
                <w:szCs w:val="18"/>
              </w:rPr>
            </w:pPr>
          </w:p>
        </w:tc>
        <w:tc>
          <w:tcPr>
            <w:tcW w:w="1900"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采矿工程</w:t>
            </w:r>
          </w:p>
        </w:tc>
        <w:tc>
          <w:tcPr>
            <w:tcW w:w="2161"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w:t>
            </w:r>
          </w:p>
        </w:tc>
        <w:tc>
          <w:tcPr>
            <w:tcW w:w="1080"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18.27%</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1341"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安全工程</w:t>
            </w:r>
          </w:p>
        </w:tc>
        <w:tc>
          <w:tcPr>
            <w:tcW w:w="1900"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安全工程</w:t>
            </w:r>
          </w:p>
        </w:tc>
        <w:tc>
          <w:tcPr>
            <w:tcW w:w="2161"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76</w:t>
            </w:r>
          </w:p>
        </w:tc>
        <w:tc>
          <w:tcPr>
            <w:tcW w:w="1080"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17.80%</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65" w:hRule="atLeast"/>
        </w:trPr>
        <w:tc>
          <w:tcPr>
            <w:tcW w:w="1341"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电气与动力工程系</w:t>
            </w:r>
          </w:p>
        </w:tc>
        <w:tc>
          <w:tcPr>
            <w:tcW w:w="1900"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电气工程及其自动化</w:t>
            </w:r>
          </w:p>
        </w:tc>
        <w:tc>
          <w:tcPr>
            <w:tcW w:w="2161"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w:t>
            </w:r>
          </w:p>
        </w:tc>
        <w:tc>
          <w:tcPr>
            <w:tcW w:w="1080"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17.10%</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1341"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地质测绘工程系</w:t>
            </w:r>
          </w:p>
        </w:tc>
        <w:tc>
          <w:tcPr>
            <w:tcW w:w="1900"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资源勘查工程</w:t>
            </w:r>
          </w:p>
        </w:tc>
        <w:tc>
          <w:tcPr>
            <w:tcW w:w="2161"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68</w:t>
            </w:r>
          </w:p>
        </w:tc>
        <w:tc>
          <w:tcPr>
            <w:tcW w:w="1080"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15.93%</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50" w:hRule="atLeast"/>
        </w:trPr>
        <w:tc>
          <w:tcPr>
            <w:tcW w:w="1341"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机电工程系</w:t>
            </w:r>
          </w:p>
        </w:tc>
        <w:tc>
          <w:tcPr>
            <w:tcW w:w="1900"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机械设计制造及自动化</w:t>
            </w:r>
          </w:p>
        </w:tc>
        <w:tc>
          <w:tcPr>
            <w:tcW w:w="2161"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w:t>
            </w:r>
          </w:p>
        </w:tc>
        <w:tc>
          <w:tcPr>
            <w:tcW w:w="1080"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16.86%</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65" w:hRule="atLeast"/>
        </w:trPr>
        <w:tc>
          <w:tcPr>
            <w:tcW w:w="3241" w:type="dxa"/>
            <w:gridSpan w:val="3"/>
            <w:tcBorders>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总计  </w:t>
            </w:r>
          </w:p>
        </w:tc>
        <w:tc>
          <w:tcPr>
            <w:tcW w:w="2161" w:type="dxa"/>
            <w:gridSpan w:val="2"/>
            <w:tcBorders>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427</w:t>
            </w:r>
          </w:p>
        </w:tc>
        <w:tc>
          <w:tcPr>
            <w:tcW w:w="1080" w:type="dxa"/>
            <w:tcBorders>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1078" w:type="dxa"/>
            <w:shd w:val="clear" w:color="auto" w:fill="auto"/>
            <w:vAlign w:val="center"/>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465" w:hRule="atLeast"/>
        </w:trPr>
        <w:tc>
          <w:tcPr>
            <w:tcW w:w="7560" w:type="dxa"/>
            <w:gridSpan w:val="7"/>
            <w:shd w:val="clear" w:color="auto" w:fill="auto"/>
            <w:vAlign w:val="center"/>
          </w:tcPr>
          <w:p>
            <w:pPr>
              <w:jc w:val="center"/>
              <w:rPr>
                <w:rFonts w:ascii="宋体" w:hAnsi="宋体" w:eastAsia="宋体" w:cs="宋体"/>
                <w:color w:val="000000"/>
                <w:sz w:val="32"/>
                <w:szCs w:val="32"/>
              </w:rPr>
            </w:pPr>
          </w:p>
        </w:tc>
      </w:tr>
      <w:tr>
        <w:tblPrEx>
          <w:tblLayout w:type="fixed"/>
          <w:tblCellMar>
            <w:top w:w="15" w:type="dxa"/>
            <w:left w:w="15" w:type="dxa"/>
            <w:bottom w:w="15" w:type="dxa"/>
            <w:right w:w="15" w:type="dxa"/>
          </w:tblCellMar>
        </w:tblPrEx>
        <w:trPr>
          <w:trHeight w:val="465" w:hRule="atLeast"/>
        </w:trPr>
        <w:tc>
          <w:tcPr>
            <w:tcW w:w="7560" w:type="dxa"/>
            <w:gridSpan w:val="7"/>
            <w:shd w:val="clear" w:color="auto" w:fill="auto"/>
            <w:vAlign w:val="center"/>
          </w:tcPr>
          <w:p>
            <w:pPr>
              <w:widowControl/>
              <w:jc w:val="center"/>
              <w:textAlignment w:val="center"/>
              <w:rPr>
                <w:rFonts w:ascii="宋体" w:hAnsi="宋体" w:eastAsia="宋体" w:cs="宋体"/>
                <w:color w:val="000000"/>
                <w:sz w:val="32"/>
                <w:szCs w:val="32"/>
              </w:rPr>
            </w:pPr>
            <w:r>
              <w:rPr>
                <w:rStyle w:val="7"/>
                <w:rFonts w:hint="eastAsia" w:ascii="Times New Roman" w:hAnsi="Times New Roman" w:eastAsia="黑体" w:cs="Times New Roman"/>
                <w:sz w:val="24"/>
                <w:szCs w:val="24"/>
              </w:rPr>
              <w:t>表2 专科各专业人数分布表</w:t>
            </w:r>
          </w:p>
        </w:tc>
      </w:tr>
      <w:tr>
        <w:tblPrEx>
          <w:tblLayout w:type="fixed"/>
          <w:tblCellMar>
            <w:top w:w="15" w:type="dxa"/>
            <w:left w:w="15" w:type="dxa"/>
            <w:bottom w:w="15" w:type="dxa"/>
            <w:right w:w="15" w:type="dxa"/>
          </w:tblCellMar>
        </w:tblPrEx>
        <w:trPr>
          <w:trHeight w:val="480" w:hRule="atLeast"/>
        </w:trPr>
        <w:tc>
          <w:tcPr>
            <w:tcW w:w="1341" w:type="dxa"/>
            <w:tcBorders>
              <w:top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系部</w:t>
            </w:r>
          </w:p>
        </w:tc>
        <w:tc>
          <w:tcPr>
            <w:tcW w:w="1095" w:type="dxa"/>
            <w:tcBorders>
              <w:top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专业</w:t>
            </w:r>
          </w:p>
        </w:tc>
        <w:tc>
          <w:tcPr>
            <w:tcW w:w="1886" w:type="dxa"/>
            <w:gridSpan w:val="2"/>
            <w:tcBorders>
              <w:top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人数</w:t>
            </w:r>
          </w:p>
        </w:tc>
        <w:tc>
          <w:tcPr>
            <w:tcW w:w="3238" w:type="dxa"/>
            <w:gridSpan w:val="3"/>
            <w:tcBorders>
              <w:top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比例</w:t>
            </w:r>
          </w:p>
        </w:tc>
      </w:tr>
      <w:tr>
        <w:tblPrEx>
          <w:tblLayout w:type="fixed"/>
          <w:tblCellMar>
            <w:top w:w="15" w:type="dxa"/>
            <w:left w:w="15" w:type="dxa"/>
            <w:bottom w:w="15" w:type="dxa"/>
            <w:right w:w="15" w:type="dxa"/>
          </w:tblCellMar>
        </w:tblPrEx>
        <w:trPr>
          <w:trHeight w:val="465" w:hRule="atLeast"/>
        </w:trPr>
        <w:tc>
          <w:tcPr>
            <w:tcW w:w="1341" w:type="dxa"/>
            <w:vMerge w:val="restart"/>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矿业工程系</w:t>
            </w:r>
          </w:p>
        </w:tc>
        <w:tc>
          <w:tcPr>
            <w:tcW w:w="1095" w:type="dxa"/>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煤矿开采技术</w:t>
            </w:r>
          </w:p>
        </w:tc>
        <w:tc>
          <w:tcPr>
            <w:tcW w:w="1886" w:type="dxa"/>
            <w:gridSpan w:val="2"/>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3238" w:type="dxa"/>
            <w:gridSpan w:val="3"/>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r>
      <w:tr>
        <w:tblPrEx>
          <w:tblLayout w:type="fixed"/>
          <w:tblCellMar>
            <w:top w:w="15" w:type="dxa"/>
            <w:left w:w="15" w:type="dxa"/>
            <w:bottom w:w="15" w:type="dxa"/>
            <w:right w:w="15" w:type="dxa"/>
          </w:tblCellMar>
        </w:tblPrEx>
        <w:trPr>
          <w:trHeight w:val="45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建筑工程管理</w:t>
            </w:r>
          </w:p>
        </w:tc>
        <w:tc>
          <w:tcPr>
            <w:tcW w:w="1886"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3238" w:type="dxa"/>
            <w:gridSpan w:val="3"/>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6.04%</w:t>
            </w:r>
          </w:p>
        </w:tc>
      </w:tr>
      <w:tr>
        <w:tblPrEx>
          <w:tblLayout w:type="fixed"/>
          <w:tblCellMar>
            <w:top w:w="15" w:type="dxa"/>
            <w:left w:w="15" w:type="dxa"/>
            <w:bottom w:w="15" w:type="dxa"/>
            <w:right w:w="15" w:type="dxa"/>
          </w:tblCellMar>
        </w:tblPrEx>
        <w:trPr>
          <w:trHeight w:val="45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煤炭深加工与利用</w:t>
            </w:r>
          </w:p>
        </w:tc>
        <w:tc>
          <w:tcPr>
            <w:tcW w:w="1886"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3238" w:type="dxa"/>
            <w:gridSpan w:val="3"/>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1.76%</w:t>
            </w:r>
          </w:p>
        </w:tc>
      </w:tr>
      <w:tr>
        <w:tblPrEx>
          <w:tblLayout w:type="fixed"/>
          <w:tblCellMar>
            <w:top w:w="15" w:type="dxa"/>
            <w:left w:w="15" w:type="dxa"/>
            <w:bottom w:w="15" w:type="dxa"/>
            <w:right w:w="15" w:type="dxa"/>
          </w:tblCellMar>
        </w:tblPrEx>
        <w:trPr>
          <w:trHeight w:val="450" w:hRule="atLeast"/>
        </w:trPr>
        <w:tc>
          <w:tcPr>
            <w:tcW w:w="1341"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安全工程系</w:t>
            </w:r>
          </w:p>
        </w:tc>
        <w:tc>
          <w:tcPr>
            <w:tcW w:w="1095"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矿井通风与安全</w:t>
            </w:r>
          </w:p>
        </w:tc>
        <w:tc>
          <w:tcPr>
            <w:tcW w:w="1886" w:type="dxa"/>
            <w:gridSpan w:val="2"/>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3238" w:type="dxa"/>
            <w:gridSpan w:val="3"/>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1.09%</w:t>
            </w:r>
          </w:p>
        </w:tc>
      </w:tr>
      <w:tr>
        <w:tblPrEx>
          <w:tblLayout w:type="fixed"/>
          <w:tblCellMar>
            <w:top w:w="15" w:type="dxa"/>
            <w:left w:w="15" w:type="dxa"/>
            <w:bottom w:w="15" w:type="dxa"/>
            <w:right w:w="15" w:type="dxa"/>
          </w:tblCellMar>
        </w:tblPrEx>
        <w:trPr>
          <w:trHeight w:val="450" w:hRule="atLeast"/>
        </w:trPr>
        <w:tc>
          <w:tcPr>
            <w:tcW w:w="1341" w:type="dxa"/>
            <w:vMerge w:val="restart"/>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计算机系</w:t>
            </w:r>
          </w:p>
        </w:tc>
        <w:tc>
          <w:tcPr>
            <w:tcW w:w="1095" w:type="dxa"/>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广告设计与制作</w:t>
            </w:r>
          </w:p>
        </w:tc>
        <w:tc>
          <w:tcPr>
            <w:tcW w:w="1886" w:type="dxa"/>
            <w:gridSpan w:val="2"/>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238" w:type="dxa"/>
            <w:gridSpan w:val="3"/>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w:t>
            </w:r>
          </w:p>
        </w:tc>
      </w:tr>
      <w:tr>
        <w:tblPrEx>
          <w:tblLayout w:type="fixed"/>
          <w:tblCellMar>
            <w:top w:w="15" w:type="dxa"/>
            <w:left w:w="15" w:type="dxa"/>
            <w:bottom w:w="15" w:type="dxa"/>
            <w:right w:w="15" w:type="dxa"/>
          </w:tblCellMar>
        </w:tblPrEx>
        <w:trPr>
          <w:trHeight w:val="45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计算机信息管理</w:t>
            </w:r>
          </w:p>
        </w:tc>
        <w:tc>
          <w:tcPr>
            <w:tcW w:w="1886"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127</w:t>
            </w:r>
          </w:p>
        </w:tc>
        <w:tc>
          <w:tcPr>
            <w:tcW w:w="3238" w:type="dxa"/>
            <w:gridSpan w:val="3"/>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6.04%</w:t>
            </w:r>
          </w:p>
        </w:tc>
      </w:tr>
      <w:tr>
        <w:tblPrEx>
          <w:tblLayout w:type="fixed"/>
          <w:tblCellMar>
            <w:top w:w="15" w:type="dxa"/>
            <w:left w:w="15" w:type="dxa"/>
            <w:bottom w:w="15" w:type="dxa"/>
            <w:right w:w="15" w:type="dxa"/>
          </w:tblCellMar>
        </w:tblPrEx>
        <w:trPr>
          <w:trHeight w:val="45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计算机应用技术</w:t>
            </w:r>
          </w:p>
        </w:tc>
        <w:tc>
          <w:tcPr>
            <w:tcW w:w="1886"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319</w:t>
            </w:r>
          </w:p>
        </w:tc>
        <w:tc>
          <w:tcPr>
            <w:tcW w:w="3238" w:type="dxa"/>
            <w:gridSpan w:val="3"/>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15.17%</w:t>
            </w:r>
          </w:p>
        </w:tc>
      </w:tr>
      <w:tr>
        <w:tblPrEx>
          <w:tblLayout w:type="fixed"/>
          <w:tblCellMar>
            <w:top w:w="15" w:type="dxa"/>
            <w:left w:w="15" w:type="dxa"/>
            <w:bottom w:w="15" w:type="dxa"/>
            <w:right w:w="15" w:type="dxa"/>
          </w:tblCellMar>
        </w:tblPrEx>
        <w:trPr>
          <w:trHeight w:val="450" w:hRule="atLeast"/>
        </w:trPr>
        <w:tc>
          <w:tcPr>
            <w:tcW w:w="1341" w:type="dxa"/>
            <w:vMerge w:val="restart"/>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经济管理系</w:t>
            </w:r>
          </w:p>
        </w:tc>
        <w:tc>
          <w:tcPr>
            <w:tcW w:w="1095" w:type="dxa"/>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工商企业管理</w:t>
            </w:r>
          </w:p>
        </w:tc>
        <w:tc>
          <w:tcPr>
            <w:tcW w:w="1886" w:type="dxa"/>
            <w:gridSpan w:val="2"/>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151</w:t>
            </w:r>
          </w:p>
        </w:tc>
        <w:tc>
          <w:tcPr>
            <w:tcW w:w="3238" w:type="dxa"/>
            <w:gridSpan w:val="3"/>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7.18%</w:t>
            </w:r>
          </w:p>
        </w:tc>
      </w:tr>
      <w:tr>
        <w:tblPrEx>
          <w:tblLayout w:type="fixed"/>
          <w:tblCellMar>
            <w:top w:w="15" w:type="dxa"/>
            <w:left w:w="15" w:type="dxa"/>
            <w:bottom w:w="15" w:type="dxa"/>
            <w:right w:w="15" w:type="dxa"/>
          </w:tblCellMar>
        </w:tblPrEx>
        <w:trPr>
          <w:trHeight w:val="45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市场营销</w:t>
            </w:r>
          </w:p>
        </w:tc>
        <w:tc>
          <w:tcPr>
            <w:tcW w:w="1886" w:type="dxa"/>
            <w:gridSpan w:val="2"/>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149</w:t>
            </w:r>
          </w:p>
        </w:tc>
        <w:tc>
          <w:tcPr>
            <w:tcW w:w="3238" w:type="dxa"/>
            <w:gridSpan w:val="3"/>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7.09%</w:t>
            </w:r>
          </w:p>
        </w:tc>
      </w:tr>
      <w:tr>
        <w:tblPrEx>
          <w:tblLayout w:type="fixed"/>
          <w:tblCellMar>
            <w:top w:w="15" w:type="dxa"/>
            <w:left w:w="15" w:type="dxa"/>
            <w:bottom w:w="15" w:type="dxa"/>
            <w:right w:w="15" w:type="dxa"/>
          </w:tblCellMar>
        </w:tblPrEx>
        <w:trPr>
          <w:trHeight w:val="33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会计电算化</w:t>
            </w:r>
          </w:p>
        </w:tc>
        <w:tc>
          <w:tcPr>
            <w:tcW w:w="1886"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905</w:t>
            </w:r>
          </w:p>
        </w:tc>
        <w:tc>
          <w:tcPr>
            <w:tcW w:w="3238" w:type="dxa"/>
            <w:gridSpan w:val="3"/>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43.03%</w:t>
            </w:r>
          </w:p>
        </w:tc>
      </w:tr>
      <w:tr>
        <w:tblPrEx>
          <w:tblLayout w:type="fixed"/>
          <w:tblCellMar>
            <w:top w:w="15" w:type="dxa"/>
            <w:left w:w="15" w:type="dxa"/>
            <w:bottom w:w="15" w:type="dxa"/>
            <w:right w:w="15" w:type="dxa"/>
          </w:tblCellMar>
        </w:tblPrEx>
        <w:trPr>
          <w:trHeight w:val="465" w:hRule="atLeast"/>
        </w:trPr>
        <w:tc>
          <w:tcPr>
            <w:tcW w:w="1341"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电气与动力工程系</w:t>
            </w:r>
          </w:p>
        </w:tc>
        <w:tc>
          <w:tcPr>
            <w:tcW w:w="1095"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应用电子技术</w:t>
            </w:r>
          </w:p>
        </w:tc>
        <w:tc>
          <w:tcPr>
            <w:tcW w:w="1886" w:type="dxa"/>
            <w:gridSpan w:val="2"/>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3238" w:type="dxa"/>
            <w:gridSpan w:val="3"/>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1.38%</w:t>
            </w:r>
          </w:p>
        </w:tc>
      </w:tr>
      <w:tr>
        <w:tblPrEx>
          <w:tblLayout w:type="fixed"/>
          <w:tblCellMar>
            <w:top w:w="15" w:type="dxa"/>
            <w:left w:w="15" w:type="dxa"/>
            <w:bottom w:w="15" w:type="dxa"/>
            <w:right w:w="15" w:type="dxa"/>
          </w:tblCellMar>
        </w:tblPrEx>
        <w:trPr>
          <w:trHeight w:val="450" w:hRule="atLeast"/>
        </w:trPr>
        <w:tc>
          <w:tcPr>
            <w:tcW w:w="1341" w:type="dxa"/>
            <w:vMerge w:val="restart"/>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地质测绘工程系</w:t>
            </w:r>
          </w:p>
        </w:tc>
        <w:tc>
          <w:tcPr>
            <w:tcW w:w="1095" w:type="dxa"/>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工程地质勘察</w:t>
            </w:r>
          </w:p>
        </w:tc>
        <w:tc>
          <w:tcPr>
            <w:tcW w:w="1886" w:type="dxa"/>
            <w:gridSpan w:val="2"/>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3238" w:type="dxa"/>
            <w:gridSpan w:val="3"/>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1.81%</w:t>
            </w:r>
          </w:p>
        </w:tc>
      </w:tr>
      <w:tr>
        <w:tblPrEx>
          <w:tblLayout w:type="fixed"/>
          <w:tblCellMar>
            <w:top w:w="15" w:type="dxa"/>
            <w:left w:w="15" w:type="dxa"/>
            <w:bottom w:w="15" w:type="dxa"/>
            <w:right w:w="15" w:type="dxa"/>
          </w:tblCellMar>
        </w:tblPrEx>
        <w:trPr>
          <w:trHeight w:val="286"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矿山测量</w:t>
            </w:r>
          </w:p>
        </w:tc>
        <w:tc>
          <w:tcPr>
            <w:tcW w:w="1886"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3238" w:type="dxa"/>
            <w:gridSpan w:val="3"/>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r>
      <w:tr>
        <w:tblPrEx>
          <w:tblLayout w:type="fixed"/>
          <w:tblCellMar>
            <w:top w:w="15" w:type="dxa"/>
            <w:left w:w="15" w:type="dxa"/>
            <w:bottom w:w="15" w:type="dxa"/>
            <w:right w:w="15" w:type="dxa"/>
          </w:tblCellMar>
        </w:tblPrEx>
        <w:trPr>
          <w:trHeight w:val="286" w:hRule="atLeast"/>
        </w:trPr>
        <w:tc>
          <w:tcPr>
            <w:tcW w:w="1341" w:type="dxa"/>
            <w:vMerge w:val="restart"/>
            <w:tcBorders>
              <w:top w:val="single" w:color="000000" w:sz="4" w:space="0"/>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机电工程系</w:t>
            </w:r>
          </w:p>
        </w:tc>
        <w:tc>
          <w:tcPr>
            <w:tcW w:w="1095" w:type="dxa"/>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矿山机电</w:t>
            </w:r>
          </w:p>
        </w:tc>
        <w:tc>
          <w:tcPr>
            <w:tcW w:w="1886" w:type="dxa"/>
            <w:gridSpan w:val="2"/>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3238" w:type="dxa"/>
            <w:gridSpan w:val="3"/>
            <w:tcBorders>
              <w:top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2.19%</w:t>
            </w:r>
          </w:p>
        </w:tc>
      </w:tr>
      <w:tr>
        <w:tblPrEx>
          <w:tblLayout w:type="fixed"/>
          <w:tblCellMar>
            <w:top w:w="15" w:type="dxa"/>
            <w:left w:w="15" w:type="dxa"/>
            <w:bottom w:w="15" w:type="dxa"/>
            <w:right w:w="15" w:type="dxa"/>
          </w:tblCellMar>
        </w:tblPrEx>
        <w:trPr>
          <w:trHeight w:val="450" w:hRule="atLeast"/>
        </w:trPr>
        <w:tc>
          <w:tcPr>
            <w:tcW w:w="1341" w:type="dxa"/>
            <w:vMerge w:val="continue"/>
            <w:tcBorders>
              <w:top w:val="single" w:color="000000" w:sz="4" w:space="0"/>
              <w:bottom w:val="single" w:color="000000" w:sz="4" w:space="0"/>
            </w:tcBorders>
            <w:shd w:val="clear" w:color="auto" w:fill="auto"/>
            <w:vAlign w:val="center"/>
          </w:tcPr>
          <w:p>
            <w:pPr>
              <w:jc w:val="center"/>
              <w:rPr>
                <w:rFonts w:ascii="宋体" w:hAnsi="宋体" w:eastAsia="宋体" w:cs="宋体"/>
                <w:color w:val="000000"/>
                <w:sz w:val="18"/>
                <w:szCs w:val="18"/>
              </w:rPr>
            </w:pPr>
          </w:p>
        </w:tc>
        <w:tc>
          <w:tcPr>
            <w:tcW w:w="1095" w:type="dxa"/>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机械设计与制造</w:t>
            </w:r>
          </w:p>
        </w:tc>
        <w:tc>
          <w:tcPr>
            <w:tcW w:w="1886"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3238" w:type="dxa"/>
            <w:gridSpan w:val="3"/>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2.71%</w:t>
            </w:r>
          </w:p>
        </w:tc>
      </w:tr>
      <w:tr>
        <w:tblPrEx>
          <w:tblLayout w:type="fixed"/>
          <w:tblCellMar>
            <w:top w:w="15" w:type="dxa"/>
            <w:left w:w="15" w:type="dxa"/>
            <w:bottom w:w="15" w:type="dxa"/>
            <w:right w:w="15" w:type="dxa"/>
          </w:tblCellMar>
        </w:tblPrEx>
        <w:trPr>
          <w:trHeight w:val="301" w:hRule="atLeast"/>
        </w:trPr>
        <w:tc>
          <w:tcPr>
            <w:tcW w:w="2436" w:type="dxa"/>
            <w:gridSpan w:val="2"/>
            <w:tcBorders>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总计</w:t>
            </w:r>
          </w:p>
        </w:tc>
        <w:tc>
          <w:tcPr>
            <w:tcW w:w="1886" w:type="dxa"/>
            <w:gridSpan w:val="2"/>
            <w:tcBorders>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2103</w:t>
            </w:r>
          </w:p>
        </w:tc>
        <w:tc>
          <w:tcPr>
            <w:tcW w:w="3238" w:type="dxa"/>
            <w:gridSpan w:val="3"/>
            <w:tcBorders>
              <w:bottom w:val="single" w:color="000000" w:sz="1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r>
    </w:tbl>
    <w:p>
      <w:pPr>
        <w:rPr>
          <w:rFonts w:ascii="华文仿宋" w:hAnsi="华文仿宋" w:eastAsia="华文仿宋"/>
          <w:color w:val="000000" w:themeColor="text1"/>
          <w:sz w:val="32"/>
          <w:szCs w:val="32"/>
          <w14:textFill>
            <w14:solidFill>
              <w14:schemeClr w14:val="tx1"/>
            </w14:solidFill>
          </w14:textFill>
        </w:rPr>
      </w:pP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2018届毕业生中，经济管理系毕业生人数最多，占毕业生总人数比重47.</w:t>
      </w:r>
      <w:r>
        <w:rPr>
          <w:rFonts w:ascii="华文仿宋" w:hAnsi="华文仿宋" w:eastAsia="华文仿宋"/>
          <w:sz w:val="32"/>
          <w:szCs w:val="32"/>
        </w:rPr>
        <w:t>63</w:t>
      </w:r>
      <w:r>
        <w:rPr>
          <w:rFonts w:hint="eastAsia" w:ascii="华文仿宋" w:hAnsi="华文仿宋" w:eastAsia="华文仿宋"/>
          <w:sz w:val="32"/>
          <w:szCs w:val="32"/>
        </w:rPr>
        <w:t>%，安全工程系毕业人数最少，占毕业生总人数仅为</w:t>
      </w:r>
      <w:r>
        <w:rPr>
          <w:rFonts w:ascii="华文仿宋" w:hAnsi="华文仿宋" w:eastAsia="华文仿宋"/>
          <w:sz w:val="32"/>
          <w:szCs w:val="32"/>
        </w:rPr>
        <w:t>3.91</w:t>
      </w:r>
      <w:r>
        <w:rPr>
          <w:rFonts w:hint="eastAsia" w:ascii="华文仿宋" w:hAnsi="华文仿宋" w:eastAsia="华文仿宋"/>
          <w:sz w:val="32"/>
          <w:szCs w:val="32"/>
        </w:rPr>
        <w:t>%。</w:t>
      </w:r>
    </w:p>
    <w:p>
      <w:pPr>
        <w:pStyle w:val="22"/>
        <w:spacing w:after="156"/>
        <w:ind w:firstLine="482"/>
        <w:jc w:val="both"/>
        <w:rPr>
          <w:rStyle w:val="7"/>
          <w:sz w:val="24"/>
          <w:szCs w:val="24"/>
        </w:rPr>
      </w:pPr>
    </w:p>
    <w:p>
      <w:pPr>
        <w:pStyle w:val="19"/>
        <w:ind w:firstLine="0" w:firstLineChars="0"/>
      </w:pPr>
      <w:r>
        <w:drawing>
          <wp:inline distT="0" distB="0" distL="114300" distR="114300">
            <wp:extent cx="5276215" cy="3599815"/>
            <wp:effectExtent l="4445" t="4445" r="15240" b="1524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2"/>
        <w:spacing w:after="156"/>
        <w:ind w:firstLine="482"/>
        <w:rPr>
          <w:rStyle w:val="7"/>
          <w:sz w:val="24"/>
          <w:szCs w:val="24"/>
        </w:rPr>
      </w:pPr>
      <w:r>
        <w:rPr>
          <w:rStyle w:val="7"/>
          <w:rFonts w:hint="eastAsia"/>
          <w:sz w:val="24"/>
          <w:szCs w:val="24"/>
        </w:rPr>
        <w:t>图1  2018届毕业生男女性别比例系部分布图</w:t>
      </w:r>
    </w:p>
    <w:p>
      <w:pPr>
        <w:pStyle w:val="19"/>
        <w:ind w:firstLine="640"/>
        <w:rPr>
          <w:rFonts w:ascii="华文仿宋" w:hAnsi="华文仿宋" w:eastAsia="华文仿宋"/>
          <w:sz w:val="32"/>
          <w:szCs w:val="32"/>
        </w:rPr>
      </w:pPr>
    </w:p>
    <w:p>
      <w:pPr>
        <w:pStyle w:val="19"/>
        <w:ind w:firstLine="640"/>
        <w:rPr>
          <w:rFonts w:ascii="华文仿宋" w:hAnsi="华文仿宋" w:eastAsia="华文仿宋"/>
          <w:sz w:val="32"/>
          <w:szCs w:val="32"/>
        </w:rPr>
      </w:pPr>
      <w:r>
        <w:rPr>
          <w:rFonts w:hint="eastAsia" w:ascii="华文仿宋" w:hAnsi="华文仿宋" w:eastAsia="华文仿宋"/>
          <w:sz w:val="32"/>
          <w:szCs w:val="32"/>
        </w:rPr>
        <w:t>我院2018届毕业生共有女生1183人，男生1347人。总体上看，性别结构较为均衡。但以系部为单位看，男女结构比例存差别比较大。其中，经管系女生人数大于男生比重，其他系部男生比重大于女生比重。这种现象最主要是由学院的专业特色决定的，比如安全工程专业本身不招女生。</w:t>
      </w:r>
    </w:p>
    <w:p>
      <w:pPr>
        <w:pStyle w:val="19"/>
        <w:ind w:firstLine="0" w:firstLineChars="0"/>
        <w:rPr>
          <w:rFonts w:ascii="华文仿宋" w:hAnsi="华文仿宋" w:eastAsia="华文仿宋"/>
          <w:b/>
          <w:bCs/>
          <w:color w:val="000000" w:themeColor="text1"/>
          <w:sz w:val="32"/>
          <w:szCs w:val="32"/>
          <w14:textFill>
            <w14:solidFill>
              <w14:schemeClr w14:val="tx1"/>
            </w14:solidFill>
          </w14:textFill>
        </w:rPr>
      </w:pPr>
      <w:r>
        <w:rPr>
          <w:rFonts w:hint="eastAsia" w:ascii="华文仿宋" w:hAnsi="华文仿宋" w:eastAsia="华文仿宋"/>
          <w:b/>
          <w:bCs/>
          <w:color w:val="000000" w:themeColor="text1"/>
          <w:sz w:val="32"/>
          <w:szCs w:val="32"/>
          <w14:textFill>
            <w14:solidFill>
              <w14:schemeClr w14:val="tx1"/>
            </w14:solidFill>
          </w14:textFill>
        </w:rPr>
        <w:t>2.毕业生就业情况</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截至2018年12月，学院2018届毕业生本、专科毕业人数为2530人，初次就业率为96.56%。已就业的毕业生中协议就业206人，项目就业16人（含入伍服兵役），升学182人，灵活就业2039人。生源地待业人数为87人。</w:t>
      </w:r>
    </w:p>
    <w:p>
      <w:pPr>
        <w:ind w:firstLine="640" w:firstLineChars="200"/>
        <w:rPr>
          <w:rFonts w:ascii="华文仿宋" w:hAnsi="华文仿宋" w:eastAsia="华文仿宋"/>
          <w:sz w:val="32"/>
          <w:szCs w:val="32"/>
        </w:rPr>
      </w:pPr>
    </w:p>
    <w:p>
      <w:pPr>
        <w:jc w:val="center"/>
        <w:rPr>
          <w:rFonts w:ascii="华文仿宋" w:hAnsi="华文仿宋" w:eastAsia="华文仿宋"/>
          <w:sz w:val="32"/>
          <w:szCs w:val="32"/>
        </w:rPr>
      </w:pPr>
      <w:r>
        <w:drawing>
          <wp:inline distT="0" distB="0" distL="0" distR="0">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2"/>
        <w:spacing w:after="156"/>
        <w:ind w:firstLine="482"/>
        <w:rPr>
          <w:rStyle w:val="7"/>
          <w:sz w:val="24"/>
          <w:szCs w:val="24"/>
        </w:rPr>
      </w:pPr>
      <w:r>
        <w:rPr>
          <w:rStyle w:val="7"/>
          <w:rFonts w:hint="eastAsia"/>
          <w:sz w:val="24"/>
          <w:szCs w:val="24"/>
        </w:rPr>
        <w:t>图2  2018届毕业生就业情况</w:t>
      </w:r>
    </w:p>
    <w:p>
      <w:pPr>
        <w:pStyle w:val="20"/>
        <w:spacing w:beforeLines="0" w:afterLines="0"/>
        <w:ind w:firstLine="360"/>
        <w:rPr>
          <w:rFonts w:ascii="华文仿宋" w:hAnsi="华文仿宋" w:eastAsia="华文仿宋"/>
          <w:sz w:val="32"/>
          <w:szCs w:val="32"/>
        </w:rPr>
      </w:pPr>
      <w:r>
        <w:rPr>
          <w:rFonts w:hint="eastAsia"/>
          <w:sz w:val="18"/>
          <w:szCs w:val="18"/>
        </w:rPr>
        <w:t>注</w:t>
      </w:r>
      <w:r>
        <w:rPr>
          <w:sz w:val="18"/>
          <w:szCs w:val="18"/>
        </w:rPr>
        <w:t>：</w:t>
      </w:r>
      <w:r>
        <w:rPr>
          <w:rFonts w:hint="eastAsia"/>
          <w:sz w:val="18"/>
          <w:szCs w:val="18"/>
        </w:rPr>
        <w:t>就业率</w:t>
      </w:r>
      <w:r>
        <w:rPr>
          <w:sz w:val="18"/>
          <w:szCs w:val="18"/>
        </w:rPr>
        <w:t>={升学</w:t>
      </w:r>
      <w:r>
        <w:rPr>
          <w:rFonts w:hint="eastAsia"/>
          <w:sz w:val="18"/>
          <w:szCs w:val="18"/>
        </w:rPr>
        <w:t>人数+就业</w:t>
      </w:r>
      <w:r>
        <w:rPr>
          <w:sz w:val="18"/>
          <w:szCs w:val="18"/>
        </w:rPr>
        <w:t>人数（</w:t>
      </w:r>
      <w:r>
        <w:rPr>
          <w:rFonts w:hint="eastAsia"/>
          <w:sz w:val="18"/>
          <w:szCs w:val="18"/>
        </w:rPr>
        <w:t>协议</w:t>
      </w:r>
      <w:r>
        <w:rPr>
          <w:sz w:val="18"/>
          <w:szCs w:val="18"/>
        </w:rPr>
        <w:t>人数</w:t>
      </w:r>
      <w:r>
        <w:rPr>
          <w:rFonts w:hint="eastAsia"/>
          <w:sz w:val="18"/>
          <w:szCs w:val="18"/>
        </w:rPr>
        <w:t>+灵活</w:t>
      </w:r>
      <w:r>
        <w:rPr>
          <w:sz w:val="18"/>
          <w:szCs w:val="18"/>
        </w:rPr>
        <w:t>就业人数</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人数*100.00%。毕业生</w:t>
      </w:r>
      <w:r>
        <w:rPr>
          <w:rFonts w:hint="eastAsia"/>
          <w:sz w:val="18"/>
          <w:szCs w:val="18"/>
        </w:rPr>
        <w:t>情况</w:t>
      </w:r>
      <w:r>
        <w:rPr>
          <w:sz w:val="18"/>
          <w:szCs w:val="18"/>
        </w:rPr>
        <w:t>统计截止</w:t>
      </w:r>
      <w:r>
        <w:rPr>
          <w:rFonts w:hint="eastAsia"/>
          <w:sz w:val="18"/>
          <w:szCs w:val="18"/>
        </w:rPr>
        <w:t>2018年12月4日</w:t>
      </w:r>
      <w:r>
        <w:rPr>
          <w:sz w:val="18"/>
          <w:szCs w:val="18"/>
        </w:rPr>
        <w:t>。</w:t>
      </w:r>
    </w:p>
    <w:p>
      <w:pPr>
        <w:rPr>
          <w:rFonts w:ascii="华文仿宋" w:hAnsi="华文仿宋" w:eastAsia="华文仿宋"/>
          <w:b/>
          <w:bCs/>
          <w:sz w:val="32"/>
          <w:szCs w:val="32"/>
        </w:rPr>
      </w:pPr>
      <w:r>
        <w:rPr>
          <w:rFonts w:hint="eastAsia" w:ascii="华文仿宋" w:hAnsi="华文仿宋" w:eastAsia="华文仿宋"/>
          <w:b/>
          <w:bCs/>
          <w:sz w:val="32"/>
          <w:szCs w:val="32"/>
        </w:rPr>
        <w:br w:type="page"/>
      </w:r>
    </w:p>
    <w:p>
      <w:pPr>
        <w:rPr>
          <w:rFonts w:ascii="华文仿宋" w:hAnsi="华文仿宋" w:eastAsia="华文仿宋"/>
          <w:b/>
          <w:bCs/>
          <w:sz w:val="32"/>
          <w:szCs w:val="32"/>
        </w:rPr>
      </w:pPr>
      <w:r>
        <w:rPr>
          <w:rFonts w:hint="eastAsia" w:ascii="华文仿宋" w:hAnsi="华文仿宋" w:eastAsia="华文仿宋"/>
          <w:b/>
          <w:bCs/>
          <w:sz w:val="32"/>
          <w:szCs w:val="32"/>
        </w:rPr>
        <w:t>3.本、专科毕业去向</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1、本科毕业427人，就业人数415人，其中协议就业人数169人，灵活就业人数184人，考研61人，应征入伍1人，不就业拟升学12人。本科就业率97.18%。</w:t>
      </w:r>
    </w:p>
    <w:tbl>
      <w:tblPr>
        <w:tblStyle w:val="15"/>
        <w:tblpPr w:leftFromText="180" w:rightFromText="180" w:vertAnchor="text" w:horzAnchor="page" w:tblpX="1930" w:tblpY="477"/>
        <w:tblOverlap w:val="never"/>
        <w:tblW w:w="8327" w:type="dxa"/>
        <w:tblInd w:w="0" w:type="dxa"/>
        <w:tblLayout w:type="fixed"/>
        <w:tblCellMar>
          <w:top w:w="0" w:type="dxa"/>
          <w:left w:w="108" w:type="dxa"/>
          <w:bottom w:w="0" w:type="dxa"/>
          <w:right w:w="108" w:type="dxa"/>
        </w:tblCellMar>
      </w:tblPr>
      <w:tblGrid>
        <w:gridCol w:w="993"/>
        <w:gridCol w:w="465"/>
        <w:gridCol w:w="729"/>
        <w:gridCol w:w="527"/>
        <w:gridCol w:w="729"/>
        <w:gridCol w:w="454"/>
        <w:gridCol w:w="620"/>
        <w:gridCol w:w="573"/>
        <w:gridCol w:w="729"/>
        <w:gridCol w:w="454"/>
        <w:gridCol w:w="643"/>
        <w:gridCol w:w="574"/>
        <w:gridCol w:w="837"/>
      </w:tblGrid>
      <w:tr>
        <w:tblPrEx>
          <w:tblLayout w:type="fixed"/>
          <w:tblCellMar>
            <w:top w:w="0" w:type="dxa"/>
            <w:left w:w="108" w:type="dxa"/>
            <w:bottom w:w="0" w:type="dxa"/>
            <w:right w:w="108" w:type="dxa"/>
          </w:tblCellMar>
        </w:tblPrEx>
        <w:trPr>
          <w:trHeight w:val="316" w:hRule="atLeast"/>
        </w:trPr>
        <w:tc>
          <w:tcPr>
            <w:tcW w:w="993" w:type="dxa"/>
            <w:vMerge w:val="restart"/>
            <w:tcBorders>
              <w:top w:val="single" w:color="auto" w:sz="12" w:space="0"/>
              <w:left w:val="nil"/>
              <w:bottom w:val="single" w:color="000000"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系部</w:t>
            </w:r>
          </w:p>
        </w:tc>
        <w:tc>
          <w:tcPr>
            <w:tcW w:w="1194"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考研</w:t>
            </w:r>
          </w:p>
        </w:tc>
        <w:tc>
          <w:tcPr>
            <w:tcW w:w="1256"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协议就业</w:t>
            </w:r>
          </w:p>
        </w:tc>
        <w:tc>
          <w:tcPr>
            <w:tcW w:w="1074"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项目就业</w:t>
            </w:r>
          </w:p>
        </w:tc>
        <w:tc>
          <w:tcPr>
            <w:tcW w:w="1302"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灵活就业</w:t>
            </w:r>
          </w:p>
        </w:tc>
        <w:tc>
          <w:tcPr>
            <w:tcW w:w="1097"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未就业</w:t>
            </w:r>
          </w:p>
        </w:tc>
        <w:tc>
          <w:tcPr>
            <w:tcW w:w="574" w:type="dxa"/>
            <w:vMerge w:val="restart"/>
            <w:tcBorders>
              <w:top w:val="single" w:color="auto" w:sz="12" w:space="0"/>
              <w:left w:val="nil"/>
              <w:bottom w:val="single" w:color="000000"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总人数</w:t>
            </w:r>
          </w:p>
        </w:tc>
        <w:tc>
          <w:tcPr>
            <w:tcW w:w="837" w:type="dxa"/>
            <w:vMerge w:val="restart"/>
            <w:tcBorders>
              <w:top w:val="single" w:color="auto" w:sz="12" w:space="0"/>
              <w:left w:val="nil"/>
              <w:bottom w:val="single" w:color="000000"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就业率/%</w:t>
            </w:r>
          </w:p>
        </w:tc>
      </w:tr>
      <w:tr>
        <w:tblPrEx>
          <w:tblLayout w:type="fixed"/>
          <w:tblCellMar>
            <w:top w:w="0" w:type="dxa"/>
            <w:left w:w="108" w:type="dxa"/>
            <w:bottom w:w="0" w:type="dxa"/>
            <w:right w:w="108" w:type="dxa"/>
          </w:tblCellMar>
        </w:tblPrEx>
        <w:trPr>
          <w:trHeight w:val="513" w:hRule="atLeast"/>
        </w:trPr>
        <w:tc>
          <w:tcPr>
            <w:tcW w:w="993" w:type="dxa"/>
            <w:vMerge w:val="continue"/>
            <w:tcBorders>
              <w:top w:val="nil"/>
              <w:left w:val="nil"/>
              <w:bottom w:val="single" w:color="000000" w:sz="8" w:space="0"/>
              <w:right w:val="nil"/>
            </w:tcBorders>
            <w:vAlign w:val="center"/>
          </w:tcPr>
          <w:p>
            <w:pPr>
              <w:widowControl/>
              <w:jc w:val="left"/>
              <w:rPr>
                <w:rFonts w:ascii="等线" w:hAnsi="等线" w:eastAsia="等线" w:cs="宋体"/>
                <w:color w:val="000000"/>
                <w:kern w:val="0"/>
                <w:sz w:val="18"/>
                <w:szCs w:val="18"/>
              </w:rPr>
            </w:pPr>
          </w:p>
        </w:tc>
        <w:tc>
          <w:tcPr>
            <w:tcW w:w="465"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729"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527"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729"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454"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620"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573"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729"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454"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643"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574" w:type="dxa"/>
            <w:vMerge w:val="continue"/>
            <w:tcBorders>
              <w:top w:val="nil"/>
              <w:left w:val="nil"/>
              <w:bottom w:val="single" w:color="000000" w:sz="8" w:space="0"/>
              <w:right w:val="nil"/>
            </w:tcBorders>
            <w:vAlign w:val="center"/>
          </w:tcPr>
          <w:p>
            <w:pPr>
              <w:widowControl/>
              <w:jc w:val="left"/>
              <w:rPr>
                <w:rFonts w:ascii="等线" w:hAnsi="等线" w:eastAsia="等线" w:cs="宋体"/>
                <w:color w:val="000000"/>
                <w:kern w:val="0"/>
                <w:sz w:val="18"/>
                <w:szCs w:val="18"/>
              </w:rPr>
            </w:pPr>
          </w:p>
        </w:tc>
        <w:tc>
          <w:tcPr>
            <w:tcW w:w="837" w:type="dxa"/>
            <w:vMerge w:val="continue"/>
            <w:tcBorders>
              <w:top w:val="nil"/>
              <w:left w:val="nil"/>
              <w:bottom w:val="single" w:color="000000" w:sz="8" w:space="0"/>
              <w:right w:val="nil"/>
            </w:tcBorders>
            <w:vAlign w:val="center"/>
          </w:tcPr>
          <w:p>
            <w:pPr>
              <w:widowControl/>
              <w:jc w:val="left"/>
              <w:rPr>
                <w:rFonts w:ascii="等线" w:hAnsi="等线" w:eastAsia="等线" w:cs="宋体"/>
                <w:color w:val="000000"/>
                <w:kern w:val="0"/>
                <w:sz w:val="18"/>
                <w:szCs w:val="18"/>
              </w:rPr>
            </w:pPr>
          </w:p>
        </w:tc>
      </w:tr>
      <w:tr>
        <w:tblPrEx>
          <w:tblLayout w:type="fixed"/>
          <w:tblCellMar>
            <w:top w:w="0" w:type="dxa"/>
            <w:left w:w="108" w:type="dxa"/>
            <w:bottom w:w="0" w:type="dxa"/>
            <w:right w:w="108" w:type="dxa"/>
          </w:tblCellMar>
        </w:tblPrEx>
        <w:trPr>
          <w:trHeight w:val="316" w:hRule="atLeast"/>
        </w:trPr>
        <w:tc>
          <w:tcPr>
            <w:tcW w:w="99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矿业工程系</w:t>
            </w:r>
          </w:p>
        </w:tc>
        <w:tc>
          <w:tcPr>
            <w:tcW w:w="46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10.87 </w:t>
            </w:r>
          </w:p>
        </w:tc>
        <w:tc>
          <w:tcPr>
            <w:tcW w:w="5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39.86 </w:t>
            </w:r>
          </w:p>
        </w:tc>
        <w:tc>
          <w:tcPr>
            <w:tcW w:w="45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57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45.65 </w:t>
            </w:r>
          </w:p>
        </w:tc>
        <w:tc>
          <w:tcPr>
            <w:tcW w:w="45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4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3.62 </w:t>
            </w:r>
          </w:p>
        </w:tc>
        <w:tc>
          <w:tcPr>
            <w:tcW w:w="5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138</w:t>
            </w:r>
          </w:p>
        </w:tc>
        <w:tc>
          <w:tcPr>
            <w:tcW w:w="83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96.38 </w:t>
            </w:r>
          </w:p>
        </w:tc>
      </w:tr>
      <w:tr>
        <w:tblPrEx>
          <w:tblLayout w:type="fixed"/>
          <w:tblCellMar>
            <w:top w:w="0" w:type="dxa"/>
            <w:left w:w="108" w:type="dxa"/>
            <w:bottom w:w="0" w:type="dxa"/>
            <w:right w:w="108" w:type="dxa"/>
          </w:tblCellMar>
        </w:tblPrEx>
        <w:trPr>
          <w:trHeight w:val="316" w:hRule="atLeast"/>
        </w:trPr>
        <w:tc>
          <w:tcPr>
            <w:tcW w:w="99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机电工程系</w:t>
            </w:r>
          </w:p>
        </w:tc>
        <w:tc>
          <w:tcPr>
            <w:tcW w:w="46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12.50 </w:t>
            </w:r>
          </w:p>
        </w:tc>
        <w:tc>
          <w:tcPr>
            <w:tcW w:w="5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38.89 </w:t>
            </w:r>
          </w:p>
        </w:tc>
        <w:tc>
          <w:tcPr>
            <w:tcW w:w="45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57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48.61 </w:t>
            </w:r>
          </w:p>
        </w:tc>
        <w:tc>
          <w:tcPr>
            <w:tcW w:w="45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4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5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72</w:t>
            </w:r>
          </w:p>
        </w:tc>
        <w:tc>
          <w:tcPr>
            <w:tcW w:w="83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100.00 </w:t>
            </w:r>
          </w:p>
        </w:tc>
      </w:tr>
      <w:tr>
        <w:tblPrEx>
          <w:tblLayout w:type="fixed"/>
          <w:tblCellMar>
            <w:top w:w="0" w:type="dxa"/>
            <w:left w:w="108" w:type="dxa"/>
            <w:bottom w:w="0" w:type="dxa"/>
            <w:right w:w="108" w:type="dxa"/>
          </w:tblCellMar>
        </w:tblPrEx>
        <w:trPr>
          <w:trHeight w:val="316" w:hRule="atLeast"/>
        </w:trPr>
        <w:tc>
          <w:tcPr>
            <w:tcW w:w="99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地质测绘工程系</w:t>
            </w:r>
          </w:p>
        </w:tc>
        <w:tc>
          <w:tcPr>
            <w:tcW w:w="46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19.12 </w:t>
            </w:r>
          </w:p>
        </w:tc>
        <w:tc>
          <w:tcPr>
            <w:tcW w:w="5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47.06 </w:t>
            </w:r>
          </w:p>
        </w:tc>
        <w:tc>
          <w:tcPr>
            <w:tcW w:w="45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57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w:t>
            </w:r>
          </w:p>
        </w:tc>
        <w:tc>
          <w:tcPr>
            <w:tcW w:w="72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32.35 </w:t>
            </w:r>
          </w:p>
        </w:tc>
        <w:tc>
          <w:tcPr>
            <w:tcW w:w="45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4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1.47 </w:t>
            </w:r>
          </w:p>
        </w:tc>
        <w:tc>
          <w:tcPr>
            <w:tcW w:w="5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68</w:t>
            </w:r>
          </w:p>
        </w:tc>
        <w:tc>
          <w:tcPr>
            <w:tcW w:w="83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98.53 </w:t>
            </w:r>
          </w:p>
        </w:tc>
      </w:tr>
      <w:tr>
        <w:tblPrEx>
          <w:tblLayout w:type="fixed"/>
          <w:tblCellMar>
            <w:top w:w="0" w:type="dxa"/>
            <w:left w:w="108" w:type="dxa"/>
            <w:bottom w:w="0" w:type="dxa"/>
            <w:right w:w="108" w:type="dxa"/>
          </w:tblCellMar>
        </w:tblPrEx>
        <w:trPr>
          <w:trHeight w:val="316" w:hRule="atLeast"/>
        </w:trPr>
        <w:tc>
          <w:tcPr>
            <w:tcW w:w="993"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电气与动力工程系</w:t>
            </w:r>
          </w:p>
        </w:tc>
        <w:tc>
          <w:tcPr>
            <w:tcW w:w="465"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729"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5.48 </w:t>
            </w:r>
          </w:p>
        </w:tc>
        <w:tc>
          <w:tcPr>
            <w:tcW w:w="527"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729"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34.25 </w:t>
            </w:r>
          </w:p>
        </w:tc>
        <w:tc>
          <w:tcPr>
            <w:tcW w:w="454"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20"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1.37 </w:t>
            </w:r>
          </w:p>
        </w:tc>
        <w:tc>
          <w:tcPr>
            <w:tcW w:w="573"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w:t>
            </w:r>
          </w:p>
        </w:tc>
        <w:tc>
          <w:tcPr>
            <w:tcW w:w="729"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52.05 </w:t>
            </w:r>
          </w:p>
        </w:tc>
        <w:tc>
          <w:tcPr>
            <w:tcW w:w="454"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643"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6.85 </w:t>
            </w:r>
          </w:p>
        </w:tc>
        <w:tc>
          <w:tcPr>
            <w:tcW w:w="574"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73</w:t>
            </w:r>
          </w:p>
        </w:tc>
        <w:tc>
          <w:tcPr>
            <w:tcW w:w="837"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93.15 </w:t>
            </w:r>
          </w:p>
        </w:tc>
      </w:tr>
      <w:tr>
        <w:tblPrEx>
          <w:tblLayout w:type="fixed"/>
          <w:tblCellMar>
            <w:top w:w="0" w:type="dxa"/>
            <w:left w:w="108" w:type="dxa"/>
            <w:bottom w:w="0" w:type="dxa"/>
            <w:right w:w="108" w:type="dxa"/>
          </w:tblCellMar>
        </w:tblPrEx>
        <w:trPr>
          <w:trHeight w:val="316" w:hRule="atLeast"/>
        </w:trPr>
        <w:tc>
          <w:tcPr>
            <w:tcW w:w="993"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安全工程系</w:t>
            </w:r>
          </w:p>
        </w:tc>
        <w:tc>
          <w:tcPr>
            <w:tcW w:w="465"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w:t>
            </w:r>
          </w:p>
        </w:tc>
        <w:tc>
          <w:tcPr>
            <w:tcW w:w="729"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26.32 </w:t>
            </w:r>
          </w:p>
        </w:tc>
        <w:tc>
          <w:tcPr>
            <w:tcW w:w="527"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729"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38.16 </w:t>
            </w:r>
          </w:p>
        </w:tc>
        <w:tc>
          <w:tcPr>
            <w:tcW w:w="454"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0"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573"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w:t>
            </w:r>
          </w:p>
        </w:tc>
        <w:tc>
          <w:tcPr>
            <w:tcW w:w="729"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34.21 </w:t>
            </w:r>
          </w:p>
        </w:tc>
        <w:tc>
          <w:tcPr>
            <w:tcW w:w="454"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43"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1.32 </w:t>
            </w:r>
          </w:p>
        </w:tc>
        <w:tc>
          <w:tcPr>
            <w:tcW w:w="574"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76</w:t>
            </w:r>
          </w:p>
        </w:tc>
        <w:tc>
          <w:tcPr>
            <w:tcW w:w="837"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98.68 </w:t>
            </w:r>
          </w:p>
        </w:tc>
      </w:tr>
    </w:tbl>
    <w:p>
      <w:pPr>
        <w:pStyle w:val="22"/>
        <w:spacing w:after="156"/>
        <w:ind w:firstLine="482"/>
        <w:rPr>
          <w:rFonts w:ascii="华文仿宋" w:hAnsi="华文仿宋" w:eastAsia="华文仿宋"/>
          <w:sz w:val="32"/>
          <w:szCs w:val="32"/>
        </w:rPr>
      </w:pPr>
      <w:r>
        <w:rPr>
          <w:rStyle w:val="7"/>
          <w:rFonts w:hint="eastAsia"/>
          <w:sz w:val="24"/>
          <w:szCs w:val="24"/>
        </w:rPr>
        <w:t>表3 各系（部）本科毕业生就业率及毕业去向</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表3表明：本科就业率良好，其中机电工程系就业率100%，安全工程系考研率最高。</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2、专科毕业2103人，就业人数2028人，其中协议就业人数37人，灵活就业人数1855人，专升本121人，应征入伍15人,生源地待业75人。专科就业率96.43%。</w:t>
      </w:r>
    </w:p>
    <w:p>
      <w:pPr>
        <w:ind w:firstLine="640" w:firstLineChars="200"/>
        <w:rPr>
          <w:rFonts w:ascii="华文仿宋" w:hAnsi="华文仿宋" w:eastAsia="华文仿宋"/>
          <w:sz w:val="32"/>
          <w:szCs w:val="32"/>
        </w:rPr>
      </w:pPr>
    </w:p>
    <w:p>
      <w:pPr>
        <w:pStyle w:val="22"/>
        <w:spacing w:after="156"/>
        <w:ind w:firstLine="482"/>
        <w:rPr>
          <w:rStyle w:val="7"/>
          <w:sz w:val="24"/>
          <w:szCs w:val="24"/>
        </w:rPr>
      </w:pPr>
      <w:r>
        <w:rPr>
          <w:rStyle w:val="7"/>
          <w:rFonts w:hint="eastAsia"/>
          <w:sz w:val="24"/>
          <w:szCs w:val="24"/>
        </w:rPr>
        <w:t>表4 各系（部）专科毕业生就业率及毕业去向</w:t>
      </w:r>
    </w:p>
    <w:tbl>
      <w:tblPr>
        <w:tblStyle w:val="15"/>
        <w:tblW w:w="8404" w:type="dxa"/>
        <w:tblInd w:w="108" w:type="dxa"/>
        <w:tblLayout w:type="fixed"/>
        <w:tblCellMar>
          <w:top w:w="0" w:type="dxa"/>
          <w:left w:w="108" w:type="dxa"/>
          <w:bottom w:w="0" w:type="dxa"/>
          <w:right w:w="108" w:type="dxa"/>
        </w:tblCellMar>
      </w:tblPr>
      <w:tblGrid>
        <w:gridCol w:w="974"/>
        <w:gridCol w:w="460"/>
        <w:gridCol w:w="719"/>
        <w:gridCol w:w="483"/>
        <w:gridCol w:w="621"/>
        <w:gridCol w:w="460"/>
        <w:gridCol w:w="612"/>
        <w:gridCol w:w="675"/>
        <w:gridCol w:w="719"/>
        <w:gridCol w:w="460"/>
        <w:gridCol w:w="719"/>
        <w:gridCol w:w="675"/>
        <w:gridCol w:w="827"/>
      </w:tblGrid>
      <w:tr>
        <w:tblPrEx>
          <w:tblLayout w:type="fixed"/>
          <w:tblCellMar>
            <w:top w:w="0" w:type="dxa"/>
            <w:left w:w="108" w:type="dxa"/>
            <w:bottom w:w="0" w:type="dxa"/>
            <w:right w:w="108" w:type="dxa"/>
          </w:tblCellMar>
        </w:tblPrEx>
        <w:trPr>
          <w:trHeight w:val="346" w:hRule="atLeast"/>
        </w:trPr>
        <w:tc>
          <w:tcPr>
            <w:tcW w:w="974" w:type="dxa"/>
            <w:vMerge w:val="restart"/>
            <w:tcBorders>
              <w:top w:val="single" w:color="auto" w:sz="12" w:space="0"/>
              <w:left w:val="nil"/>
              <w:bottom w:val="single" w:color="000000"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系部</w:t>
            </w:r>
          </w:p>
        </w:tc>
        <w:tc>
          <w:tcPr>
            <w:tcW w:w="1179"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专升本</w:t>
            </w:r>
          </w:p>
        </w:tc>
        <w:tc>
          <w:tcPr>
            <w:tcW w:w="1104"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协议就业</w:t>
            </w:r>
          </w:p>
        </w:tc>
        <w:tc>
          <w:tcPr>
            <w:tcW w:w="1072"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项目就业</w:t>
            </w:r>
          </w:p>
        </w:tc>
        <w:tc>
          <w:tcPr>
            <w:tcW w:w="1394"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灵活就业</w:t>
            </w:r>
          </w:p>
        </w:tc>
        <w:tc>
          <w:tcPr>
            <w:tcW w:w="1179" w:type="dxa"/>
            <w:gridSpan w:val="2"/>
            <w:tcBorders>
              <w:top w:val="single" w:color="auto" w:sz="12"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未就业</w:t>
            </w:r>
          </w:p>
        </w:tc>
        <w:tc>
          <w:tcPr>
            <w:tcW w:w="675" w:type="dxa"/>
            <w:vMerge w:val="restart"/>
            <w:tcBorders>
              <w:top w:val="single" w:color="auto" w:sz="12" w:space="0"/>
              <w:left w:val="nil"/>
              <w:bottom w:val="single" w:color="000000"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总人数</w:t>
            </w:r>
          </w:p>
        </w:tc>
        <w:tc>
          <w:tcPr>
            <w:tcW w:w="827" w:type="dxa"/>
            <w:vMerge w:val="restart"/>
            <w:tcBorders>
              <w:top w:val="single" w:color="auto" w:sz="12" w:space="0"/>
              <w:left w:val="nil"/>
              <w:bottom w:val="single" w:color="000000"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就业率/%</w:t>
            </w:r>
          </w:p>
        </w:tc>
      </w:tr>
      <w:tr>
        <w:tblPrEx>
          <w:tblLayout w:type="fixed"/>
          <w:tblCellMar>
            <w:top w:w="0" w:type="dxa"/>
            <w:left w:w="108" w:type="dxa"/>
            <w:bottom w:w="0" w:type="dxa"/>
            <w:right w:w="108" w:type="dxa"/>
          </w:tblCellMar>
        </w:tblPrEx>
        <w:trPr>
          <w:trHeight w:val="457" w:hRule="atLeast"/>
        </w:trPr>
        <w:tc>
          <w:tcPr>
            <w:tcW w:w="974" w:type="dxa"/>
            <w:vMerge w:val="continue"/>
            <w:tcBorders>
              <w:top w:val="nil"/>
              <w:left w:val="nil"/>
              <w:bottom w:val="single" w:color="000000" w:sz="8" w:space="0"/>
              <w:right w:val="nil"/>
            </w:tcBorders>
            <w:vAlign w:val="center"/>
          </w:tcPr>
          <w:p>
            <w:pPr>
              <w:widowControl/>
              <w:jc w:val="left"/>
              <w:rPr>
                <w:rFonts w:ascii="等线" w:hAnsi="等线" w:eastAsia="等线" w:cs="宋体"/>
                <w:color w:val="000000"/>
                <w:kern w:val="0"/>
                <w:sz w:val="18"/>
                <w:szCs w:val="18"/>
              </w:rPr>
            </w:pPr>
          </w:p>
        </w:tc>
        <w:tc>
          <w:tcPr>
            <w:tcW w:w="460"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719"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483"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621"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460"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612"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675"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719"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460"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人数</w:t>
            </w:r>
          </w:p>
        </w:tc>
        <w:tc>
          <w:tcPr>
            <w:tcW w:w="719"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比例/%</w:t>
            </w:r>
          </w:p>
        </w:tc>
        <w:tc>
          <w:tcPr>
            <w:tcW w:w="675" w:type="dxa"/>
            <w:vMerge w:val="continue"/>
            <w:tcBorders>
              <w:top w:val="nil"/>
              <w:left w:val="nil"/>
              <w:bottom w:val="single" w:color="000000" w:sz="8" w:space="0"/>
              <w:right w:val="nil"/>
            </w:tcBorders>
            <w:vAlign w:val="center"/>
          </w:tcPr>
          <w:p>
            <w:pPr>
              <w:widowControl/>
              <w:jc w:val="left"/>
              <w:rPr>
                <w:rFonts w:ascii="等线" w:hAnsi="等线" w:eastAsia="等线" w:cs="宋体"/>
                <w:color w:val="000000"/>
                <w:kern w:val="0"/>
                <w:sz w:val="18"/>
                <w:szCs w:val="18"/>
              </w:rPr>
            </w:pPr>
          </w:p>
        </w:tc>
        <w:tc>
          <w:tcPr>
            <w:tcW w:w="827" w:type="dxa"/>
            <w:vMerge w:val="continue"/>
            <w:tcBorders>
              <w:top w:val="nil"/>
              <w:left w:val="nil"/>
              <w:bottom w:val="single" w:color="000000" w:sz="8" w:space="0"/>
              <w:right w:val="nil"/>
            </w:tcBorders>
            <w:vAlign w:val="center"/>
          </w:tcPr>
          <w:p>
            <w:pPr>
              <w:widowControl/>
              <w:jc w:val="left"/>
              <w:rPr>
                <w:rFonts w:ascii="等线" w:hAnsi="等线" w:eastAsia="等线" w:cs="宋体"/>
                <w:color w:val="000000"/>
                <w:kern w:val="0"/>
                <w:sz w:val="18"/>
                <w:szCs w:val="18"/>
              </w:rPr>
            </w:pPr>
          </w:p>
        </w:tc>
      </w:tr>
      <w:tr>
        <w:tblPrEx>
          <w:tblLayout w:type="fixed"/>
          <w:tblCellMar>
            <w:top w:w="0" w:type="dxa"/>
            <w:left w:w="108" w:type="dxa"/>
            <w:bottom w:w="0" w:type="dxa"/>
            <w:right w:w="108" w:type="dxa"/>
          </w:tblCellMar>
        </w:tblPrEx>
        <w:trPr>
          <w:trHeight w:val="346" w:hRule="atLeast"/>
        </w:trPr>
        <w:tc>
          <w:tcPr>
            <w:tcW w:w="9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经济管理系</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70</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5.81 </w:t>
            </w:r>
          </w:p>
        </w:tc>
        <w:tc>
          <w:tcPr>
            <w:tcW w:w="48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w:t>
            </w:r>
          </w:p>
        </w:tc>
        <w:tc>
          <w:tcPr>
            <w:tcW w:w="62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0.50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612"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0.17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1117</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92.70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0.83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1205</w:t>
            </w:r>
          </w:p>
        </w:tc>
        <w:tc>
          <w:tcPr>
            <w:tcW w:w="8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99.17 </w:t>
            </w:r>
          </w:p>
        </w:tc>
      </w:tr>
      <w:tr>
        <w:tblPrEx>
          <w:tblLayout w:type="fixed"/>
          <w:tblCellMar>
            <w:top w:w="0" w:type="dxa"/>
            <w:left w:w="108" w:type="dxa"/>
            <w:bottom w:w="0" w:type="dxa"/>
            <w:right w:w="108" w:type="dxa"/>
          </w:tblCellMar>
        </w:tblPrEx>
        <w:trPr>
          <w:trHeight w:val="346" w:hRule="atLeast"/>
        </w:trPr>
        <w:tc>
          <w:tcPr>
            <w:tcW w:w="9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计算机系</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5.44 </w:t>
            </w:r>
          </w:p>
        </w:tc>
        <w:tc>
          <w:tcPr>
            <w:tcW w:w="48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w:t>
            </w:r>
          </w:p>
        </w:tc>
        <w:tc>
          <w:tcPr>
            <w:tcW w:w="62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5.44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612"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2.02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417</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84.07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3.02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496</w:t>
            </w:r>
          </w:p>
        </w:tc>
        <w:tc>
          <w:tcPr>
            <w:tcW w:w="8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96.98 </w:t>
            </w:r>
          </w:p>
        </w:tc>
      </w:tr>
      <w:tr>
        <w:tblPrEx>
          <w:tblLayout w:type="fixed"/>
          <w:tblCellMar>
            <w:top w:w="0" w:type="dxa"/>
            <w:left w:w="108" w:type="dxa"/>
            <w:bottom w:w="0" w:type="dxa"/>
            <w:right w:w="108" w:type="dxa"/>
          </w:tblCellMar>
        </w:tblPrEx>
        <w:trPr>
          <w:trHeight w:val="346" w:hRule="atLeast"/>
        </w:trPr>
        <w:tc>
          <w:tcPr>
            <w:tcW w:w="9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矿业工程系</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5.85 </w:t>
            </w:r>
          </w:p>
        </w:tc>
        <w:tc>
          <w:tcPr>
            <w:tcW w:w="48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2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0.53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12"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0.53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137</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72.87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20.21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188</w:t>
            </w:r>
          </w:p>
        </w:tc>
        <w:tc>
          <w:tcPr>
            <w:tcW w:w="8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79.79 </w:t>
            </w:r>
          </w:p>
        </w:tc>
      </w:tr>
      <w:tr>
        <w:tblPrEx>
          <w:tblLayout w:type="fixed"/>
          <w:tblCellMar>
            <w:top w:w="0" w:type="dxa"/>
            <w:left w:w="108" w:type="dxa"/>
            <w:bottom w:w="0" w:type="dxa"/>
            <w:right w:w="108" w:type="dxa"/>
          </w:tblCellMar>
        </w:tblPrEx>
        <w:trPr>
          <w:trHeight w:val="346" w:hRule="atLeast"/>
        </w:trPr>
        <w:tc>
          <w:tcPr>
            <w:tcW w:w="974" w:type="dxa"/>
            <w:tcBorders>
              <w:top w:val="nil"/>
              <w:left w:val="nil"/>
              <w:bottom w:val="nil"/>
              <w:right w:val="nil"/>
            </w:tcBorders>
            <w:shd w:val="clear" w:color="auto" w:fill="auto"/>
            <w:vAlign w:val="center"/>
          </w:tcPr>
          <w:p>
            <w:pPr>
              <w:widowControl/>
              <w:rPr>
                <w:rFonts w:ascii="等线" w:hAnsi="等线" w:eastAsia="等线" w:cs="宋体"/>
                <w:color w:val="000000"/>
                <w:kern w:val="0"/>
                <w:sz w:val="18"/>
                <w:szCs w:val="18"/>
              </w:rPr>
            </w:pPr>
            <w:r>
              <w:rPr>
                <w:rFonts w:hint="eastAsia" w:ascii="等线" w:hAnsi="等线" w:eastAsia="等线" w:cs="宋体"/>
                <w:color w:val="000000"/>
                <w:kern w:val="0"/>
                <w:sz w:val="18"/>
                <w:szCs w:val="18"/>
              </w:rPr>
              <w:t>机电工程系</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3.88 </w:t>
            </w:r>
          </w:p>
        </w:tc>
        <w:tc>
          <w:tcPr>
            <w:tcW w:w="48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12"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0.97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91</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88.35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6.80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w:t>
            </w:r>
          </w:p>
        </w:tc>
        <w:tc>
          <w:tcPr>
            <w:tcW w:w="8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93.20 </w:t>
            </w:r>
          </w:p>
        </w:tc>
      </w:tr>
      <w:tr>
        <w:tblPrEx>
          <w:tblLayout w:type="fixed"/>
          <w:tblCellMar>
            <w:top w:w="0" w:type="dxa"/>
            <w:left w:w="108" w:type="dxa"/>
            <w:bottom w:w="0" w:type="dxa"/>
            <w:right w:w="108" w:type="dxa"/>
          </w:tblCellMar>
        </w:tblPrEx>
        <w:trPr>
          <w:trHeight w:val="346" w:hRule="atLeast"/>
        </w:trPr>
        <w:tc>
          <w:tcPr>
            <w:tcW w:w="974"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地质测绘工程系</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5.08 </w:t>
            </w:r>
          </w:p>
        </w:tc>
        <w:tc>
          <w:tcPr>
            <w:tcW w:w="483"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62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5.08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12"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86.44 </w:t>
            </w:r>
          </w:p>
        </w:tc>
        <w:tc>
          <w:tcPr>
            <w:tcW w:w="460"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719"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3.39 </w:t>
            </w:r>
          </w:p>
        </w:tc>
        <w:tc>
          <w:tcPr>
            <w:tcW w:w="675"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w:t>
            </w:r>
          </w:p>
        </w:tc>
        <w:tc>
          <w:tcPr>
            <w:tcW w:w="82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96.61 </w:t>
            </w:r>
          </w:p>
        </w:tc>
      </w:tr>
      <w:tr>
        <w:tblPrEx>
          <w:tblLayout w:type="fixed"/>
          <w:tblCellMar>
            <w:top w:w="0" w:type="dxa"/>
            <w:left w:w="108" w:type="dxa"/>
            <w:bottom w:w="0" w:type="dxa"/>
            <w:right w:w="108" w:type="dxa"/>
          </w:tblCellMar>
        </w:tblPrEx>
        <w:trPr>
          <w:trHeight w:val="346" w:hRule="atLeast"/>
        </w:trPr>
        <w:tc>
          <w:tcPr>
            <w:tcW w:w="974"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电气与动力工程系</w:t>
            </w:r>
          </w:p>
        </w:tc>
        <w:tc>
          <w:tcPr>
            <w:tcW w:w="460"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719"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3.45 </w:t>
            </w:r>
          </w:p>
        </w:tc>
        <w:tc>
          <w:tcPr>
            <w:tcW w:w="483"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1"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460"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12"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675"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719"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86.21 </w:t>
            </w:r>
          </w:p>
        </w:tc>
        <w:tc>
          <w:tcPr>
            <w:tcW w:w="460"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719"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10.34 </w:t>
            </w:r>
          </w:p>
        </w:tc>
        <w:tc>
          <w:tcPr>
            <w:tcW w:w="675"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827" w:type="dxa"/>
            <w:tcBorders>
              <w:top w:val="nil"/>
              <w:left w:val="nil"/>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89.66 </w:t>
            </w:r>
          </w:p>
        </w:tc>
      </w:tr>
      <w:tr>
        <w:tblPrEx>
          <w:tblLayout w:type="fixed"/>
          <w:tblCellMar>
            <w:top w:w="0" w:type="dxa"/>
            <w:left w:w="108" w:type="dxa"/>
            <w:bottom w:w="0" w:type="dxa"/>
            <w:right w:w="108" w:type="dxa"/>
          </w:tblCellMar>
        </w:tblPrEx>
        <w:trPr>
          <w:trHeight w:val="346" w:hRule="atLeast"/>
        </w:trPr>
        <w:tc>
          <w:tcPr>
            <w:tcW w:w="974"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安全工程系</w:t>
            </w:r>
          </w:p>
        </w:tc>
        <w:tc>
          <w:tcPr>
            <w:tcW w:w="460"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719"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21.74 </w:t>
            </w:r>
          </w:p>
        </w:tc>
        <w:tc>
          <w:tcPr>
            <w:tcW w:w="483"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621"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460"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12"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4.35 </w:t>
            </w:r>
          </w:p>
        </w:tc>
        <w:tc>
          <w:tcPr>
            <w:tcW w:w="675"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w:t>
            </w:r>
          </w:p>
        </w:tc>
        <w:tc>
          <w:tcPr>
            <w:tcW w:w="719"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73.91 </w:t>
            </w:r>
          </w:p>
        </w:tc>
        <w:tc>
          <w:tcPr>
            <w:tcW w:w="460"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0</w:t>
            </w:r>
          </w:p>
        </w:tc>
        <w:tc>
          <w:tcPr>
            <w:tcW w:w="719"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0.00 </w:t>
            </w:r>
          </w:p>
        </w:tc>
        <w:tc>
          <w:tcPr>
            <w:tcW w:w="675"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w:t>
            </w:r>
          </w:p>
        </w:tc>
        <w:tc>
          <w:tcPr>
            <w:tcW w:w="827" w:type="dxa"/>
            <w:tcBorders>
              <w:top w:val="nil"/>
              <w:left w:val="nil"/>
              <w:bottom w:val="single" w:color="auto" w:sz="12" w:space="0"/>
              <w:right w:val="nil"/>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100.00 </w:t>
            </w:r>
          </w:p>
        </w:tc>
      </w:tr>
    </w:tbl>
    <w:p>
      <w:pPr>
        <w:pStyle w:val="20"/>
        <w:spacing w:beforeLines="0" w:afterLines="0"/>
        <w:ind w:firstLine="360"/>
        <w:rPr>
          <w:sz w:val="18"/>
          <w:szCs w:val="18"/>
        </w:rPr>
      </w:pPr>
      <w:r>
        <w:rPr>
          <w:rFonts w:hint="eastAsia"/>
          <w:sz w:val="18"/>
          <w:szCs w:val="18"/>
        </w:rPr>
        <w:t>注</w:t>
      </w:r>
      <w:r>
        <w:rPr>
          <w:sz w:val="18"/>
          <w:szCs w:val="18"/>
        </w:rPr>
        <w:t>：</w:t>
      </w:r>
      <w:r>
        <w:rPr>
          <w:rFonts w:hint="eastAsia"/>
          <w:sz w:val="18"/>
          <w:szCs w:val="18"/>
        </w:rPr>
        <w:t>就业率</w:t>
      </w:r>
      <w:r>
        <w:rPr>
          <w:sz w:val="18"/>
          <w:szCs w:val="18"/>
        </w:rPr>
        <w:t>={升学</w:t>
      </w:r>
      <w:r>
        <w:rPr>
          <w:rFonts w:hint="eastAsia"/>
          <w:sz w:val="18"/>
          <w:szCs w:val="18"/>
        </w:rPr>
        <w:t>人数+就业</w:t>
      </w:r>
      <w:r>
        <w:rPr>
          <w:sz w:val="18"/>
          <w:szCs w:val="18"/>
        </w:rPr>
        <w:t>人数（</w:t>
      </w:r>
      <w:r>
        <w:rPr>
          <w:rFonts w:hint="eastAsia"/>
          <w:sz w:val="18"/>
          <w:szCs w:val="18"/>
        </w:rPr>
        <w:t>协议</w:t>
      </w:r>
      <w:r>
        <w:rPr>
          <w:sz w:val="18"/>
          <w:szCs w:val="18"/>
        </w:rPr>
        <w:t>人数</w:t>
      </w:r>
      <w:r>
        <w:rPr>
          <w:rFonts w:hint="eastAsia"/>
          <w:sz w:val="18"/>
          <w:szCs w:val="18"/>
        </w:rPr>
        <w:t>+灵活</w:t>
      </w:r>
      <w:r>
        <w:rPr>
          <w:sz w:val="18"/>
          <w:szCs w:val="18"/>
        </w:rPr>
        <w:t>就业人数</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人数*100.00%。毕业生</w:t>
      </w:r>
      <w:r>
        <w:rPr>
          <w:rFonts w:hint="eastAsia"/>
          <w:sz w:val="18"/>
          <w:szCs w:val="18"/>
        </w:rPr>
        <w:t>情况</w:t>
      </w:r>
      <w:r>
        <w:rPr>
          <w:sz w:val="18"/>
          <w:szCs w:val="18"/>
        </w:rPr>
        <w:t>统计截止</w:t>
      </w:r>
      <w:r>
        <w:rPr>
          <w:rFonts w:hint="eastAsia"/>
          <w:sz w:val="18"/>
          <w:szCs w:val="18"/>
        </w:rPr>
        <w:t>2018年12月4日</w:t>
      </w:r>
      <w:r>
        <w:rPr>
          <w:sz w:val="18"/>
          <w:szCs w:val="18"/>
        </w:rPr>
        <w:t>。</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表4表明：专科就业率最高的两个系为安全工程系（人数最少）、经济管理系（人数最多），未就业人数、比例最多的系部为矿业工程系。</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从本科各专业就业来看，整体就业率比较良好，其中机械设计与制造及其自动化、矿物加工工程专业就业率均为100%。安全工程专业考研率最高，为26.32%。</w:t>
      </w:r>
    </w:p>
    <w:p>
      <w:pPr>
        <w:ind w:firstLine="640" w:firstLineChars="200"/>
        <w:rPr>
          <w:rFonts w:ascii="华文仿宋" w:hAnsi="华文仿宋" w:eastAsia="华文仿宋"/>
          <w:sz w:val="32"/>
          <w:szCs w:val="32"/>
        </w:rPr>
      </w:pPr>
    </w:p>
    <w:p>
      <w:pPr>
        <w:pStyle w:val="22"/>
        <w:spacing w:after="156"/>
        <w:ind w:firstLine="482"/>
        <w:rPr>
          <w:rFonts w:ascii="华文仿宋" w:hAnsi="华文仿宋" w:eastAsia="华文仿宋" w:cstheme="minorBidi"/>
        </w:rPr>
      </w:pPr>
      <w:r>
        <w:rPr>
          <w:rStyle w:val="7"/>
          <w:rFonts w:hint="eastAsia"/>
          <w:sz w:val="24"/>
          <w:szCs w:val="24"/>
        </w:rPr>
        <w:t>表5 本科各专业就业率及毕业去向</w:t>
      </w:r>
    </w:p>
    <w:tbl>
      <w:tblPr>
        <w:tblStyle w:val="15"/>
        <w:tblW w:w="8115" w:type="dxa"/>
        <w:tblInd w:w="0" w:type="dxa"/>
        <w:tblLayout w:type="fixed"/>
        <w:tblCellMar>
          <w:top w:w="15" w:type="dxa"/>
          <w:left w:w="15" w:type="dxa"/>
          <w:bottom w:w="15" w:type="dxa"/>
          <w:right w:w="15" w:type="dxa"/>
        </w:tblCellMar>
      </w:tblPr>
      <w:tblGrid>
        <w:gridCol w:w="1306"/>
        <w:gridCol w:w="570"/>
        <w:gridCol w:w="510"/>
        <w:gridCol w:w="525"/>
        <w:gridCol w:w="435"/>
        <w:gridCol w:w="450"/>
        <w:gridCol w:w="510"/>
        <w:gridCol w:w="1080"/>
        <w:gridCol w:w="450"/>
        <w:gridCol w:w="555"/>
        <w:gridCol w:w="510"/>
        <w:gridCol w:w="540"/>
        <w:gridCol w:w="674"/>
      </w:tblGrid>
      <w:tr>
        <w:tblPrEx>
          <w:tblLayout w:type="fixed"/>
          <w:tblCellMar>
            <w:top w:w="15" w:type="dxa"/>
            <w:left w:w="15" w:type="dxa"/>
            <w:bottom w:w="15" w:type="dxa"/>
            <w:right w:w="15" w:type="dxa"/>
          </w:tblCellMar>
        </w:tblPrEx>
        <w:trPr>
          <w:trHeight w:val="286" w:hRule="atLeast"/>
        </w:trPr>
        <w:tc>
          <w:tcPr>
            <w:tcW w:w="1306" w:type="dxa"/>
            <w:vMerge w:val="restart"/>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本科专业</w:t>
            </w:r>
          </w:p>
        </w:tc>
        <w:tc>
          <w:tcPr>
            <w:tcW w:w="570" w:type="dxa"/>
            <w:vMerge w:val="restart"/>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专业人数</w:t>
            </w:r>
          </w:p>
        </w:tc>
        <w:tc>
          <w:tcPr>
            <w:tcW w:w="1035"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协议就业</w:t>
            </w:r>
          </w:p>
        </w:tc>
        <w:tc>
          <w:tcPr>
            <w:tcW w:w="885"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项目就业</w:t>
            </w:r>
          </w:p>
        </w:tc>
        <w:tc>
          <w:tcPr>
            <w:tcW w:w="1590"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灵活就业</w:t>
            </w:r>
          </w:p>
        </w:tc>
        <w:tc>
          <w:tcPr>
            <w:tcW w:w="1005"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考研</w:t>
            </w:r>
          </w:p>
        </w:tc>
        <w:tc>
          <w:tcPr>
            <w:tcW w:w="1050"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未就业</w:t>
            </w:r>
          </w:p>
        </w:tc>
        <w:tc>
          <w:tcPr>
            <w:tcW w:w="674" w:type="dxa"/>
            <w:vMerge w:val="restart"/>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就业率/%</w:t>
            </w:r>
          </w:p>
        </w:tc>
      </w:tr>
      <w:tr>
        <w:tblPrEx>
          <w:tblLayout w:type="fixed"/>
          <w:tblCellMar>
            <w:top w:w="15" w:type="dxa"/>
            <w:left w:w="15" w:type="dxa"/>
            <w:bottom w:w="15" w:type="dxa"/>
            <w:right w:w="15" w:type="dxa"/>
          </w:tblCellMar>
        </w:tblPrEx>
        <w:trPr>
          <w:trHeight w:val="510" w:hRule="atLeast"/>
        </w:trPr>
        <w:tc>
          <w:tcPr>
            <w:tcW w:w="1306" w:type="dxa"/>
            <w:vMerge w:val="continue"/>
            <w:tcBorders>
              <w:top w:val="single" w:color="000000" w:sz="18" w:space="0"/>
              <w:bottom w:val="single" w:color="000000" w:sz="12" w:space="0"/>
            </w:tcBorders>
            <w:shd w:val="clear" w:color="auto" w:fill="auto"/>
            <w:vAlign w:val="center"/>
          </w:tcPr>
          <w:p>
            <w:pPr>
              <w:jc w:val="center"/>
              <w:rPr>
                <w:rFonts w:ascii="等线" w:hAnsi="等线" w:eastAsia="等线" w:cs="等线"/>
                <w:color w:val="000000"/>
                <w:sz w:val="18"/>
                <w:szCs w:val="18"/>
              </w:rPr>
            </w:pPr>
          </w:p>
        </w:tc>
        <w:tc>
          <w:tcPr>
            <w:tcW w:w="570" w:type="dxa"/>
            <w:vMerge w:val="continue"/>
            <w:tcBorders>
              <w:top w:val="single" w:color="000000" w:sz="18" w:space="0"/>
              <w:bottom w:val="single" w:color="000000" w:sz="12" w:space="0"/>
            </w:tcBorders>
            <w:shd w:val="clear" w:color="auto" w:fill="auto"/>
            <w:vAlign w:val="center"/>
          </w:tcPr>
          <w:p>
            <w:pPr>
              <w:jc w:val="center"/>
              <w:rPr>
                <w:rFonts w:ascii="等线" w:hAnsi="等线" w:eastAsia="等线" w:cs="等线"/>
                <w:color w:val="000000"/>
                <w:sz w:val="18"/>
                <w:szCs w:val="18"/>
              </w:rPr>
            </w:pPr>
          </w:p>
        </w:tc>
        <w:tc>
          <w:tcPr>
            <w:tcW w:w="51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525"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435"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45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51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108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45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555"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51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54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674" w:type="dxa"/>
            <w:vMerge w:val="continue"/>
            <w:tcBorders>
              <w:top w:val="single" w:color="000000" w:sz="18" w:space="0"/>
              <w:bottom w:val="single" w:color="000000" w:sz="12" w:space="0"/>
            </w:tcBorders>
            <w:shd w:val="clear" w:color="auto" w:fill="auto"/>
            <w:vAlign w:val="center"/>
          </w:tcPr>
          <w:p>
            <w:pPr>
              <w:jc w:val="center"/>
              <w:rPr>
                <w:rFonts w:ascii="等线" w:hAnsi="等线" w:eastAsia="等线" w:cs="等线"/>
                <w:color w:val="000000"/>
                <w:sz w:val="18"/>
                <w:szCs w:val="18"/>
              </w:rPr>
            </w:pPr>
          </w:p>
        </w:tc>
      </w:tr>
      <w:tr>
        <w:tblPrEx>
          <w:tblLayout w:type="fixed"/>
          <w:tblCellMar>
            <w:top w:w="15" w:type="dxa"/>
            <w:left w:w="15" w:type="dxa"/>
            <w:bottom w:w="15" w:type="dxa"/>
            <w:right w:w="15" w:type="dxa"/>
          </w:tblCellMar>
        </w:tblPrEx>
        <w:trPr>
          <w:trHeight w:val="570" w:hRule="atLeast"/>
        </w:trPr>
        <w:tc>
          <w:tcPr>
            <w:tcW w:w="1306"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机械设计制造及其自动化</w:t>
            </w:r>
          </w:p>
        </w:tc>
        <w:tc>
          <w:tcPr>
            <w:tcW w:w="57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72</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28</w:t>
            </w:r>
          </w:p>
        </w:tc>
        <w:tc>
          <w:tcPr>
            <w:tcW w:w="52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13.59 </w:t>
            </w:r>
          </w:p>
        </w:tc>
        <w:tc>
          <w:tcPr>
            <w:tcW w:w="43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35</w:t>
            </w:r>
          </w:p>
        </w:tc>
        <w:tc>
          <w:tcPr>
            <w:tcW w:w="108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1.72 </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w:t>
            </w:r>
          </w:p>
        </w:tc>
        <w:tc>
          <w:tcPr>
            <w:tcW w:w="55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12.50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4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67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r>
      <w:tr>
        <w:tblPrEx>
          <w:tblLayout w:type="fixed"/>
          <w:tblCellMar>
            <w:top w:w="15" w:type="dxa"/>
            <w:left w:w="15" w:type="dxa"/>
            <w:bottom w:w="15" w:type="dxa"/>
            <w:right w:w="15" w:type="dxa"/>
          </w:tblCellMar>
        </w:tblPrEx>
        <w:trPr>
          <w:trHeight w:val="480" w:hRule="atLeast"/>
        </w:trPr>
        <w:tc>
          <w:tcPr>
            <w:tcW w:w="130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矿物加工工程</w:t>
            </w:r>
          </w:p>
        </w:tc>
        <w:tc>
          <w:tcPr>
            <w:tcW w:w="57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60</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14</w:t>
            </w:r>
          </w:p>
        </w:tc>
        <w:tc>
          <w:tcPr>
            <w:tcW w:w="52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6.80 </w:t>
            </w:r>
          </w:p>
        </w:tc>
        <w:tc>
          <w:tcPr>
            <w:tcW w:w="43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38</w:t>
            </w:r>
          </w:p>
        </w:tc>
        <w:tc>
          <w:tcPr>
            <w:tcW w:w="108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1.86 </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w:t>
            </w:r>
          </w:p>
        </w:tc>
        <w:tc>
          <w:tcPr>
            <w:tcW w:w="55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13.33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4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67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r>
      <w:tr>
        <w:tblPrEx>
          <w:tblLayout w:type="fixed"/>
          <w:tblCellMar>
            <w:top w:w="15" w:type="dxa"/>
            <w:left w:w="15" w:type="dxa"/>
            <w:bottom w:w="15" w:type="dxa"/>
            <w:right w:w="15" w:type="dxa"/>
          </w:tblCellMar>
        </w:tblPrEx>
        <w:trPr>
          <w:trHeight w:val="286" w:hRule="atLeast"/>
        </w:trPr>
        <w:tc>
          <w:tcPr>
            <w:tcW w:w="130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采矿工程</w:t>
            </w:r>
          </w:p>
        </w:tc>
        <w:tc>
          <w:tcPr>
            <w:tcW w:w="57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78</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41</w:t>
            </w:r>
          </w:p>
        </w:tc>
        <w:tc>
          <w:tcPr>
            <w:tcW w:w="52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19.90 </w:t>
            </w:r>
          </w:p>
        </w:tc>
        <w:tc>
          <w:tcPr>
            <w:tcW w:w="43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w:t>
            </w:r>
          </w:p>
        </w:tc>
        <w:tc>
          <w:tcPr>
            <w:tcW w:w="108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1.23 </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w:t>
            </w:r>
          </w:p>
        </w:tc>
        <w:tc>
          <w:tcPr>
            <w:tcW w:w="55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8.97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54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5.75 </w:t>
            </w:r>
          </w:p>
        </w:tc>
        <w:tc>
          <w:tcPr>
            <w:tcW w:w="67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93.59 </w:t>
            </w:r>
          </w:p>
        </w:tc>
      </w:tr>
      <w:tr>
        <w:tblPrEx>
          <w:tblLayout w:type="fixed"/>
          <w:tblCellMar>
            <w:top w:w="15" w:type="dxa"/>
            <w:left w:w="15" w:type="dxa"/>
            <w:bottom w:w="15" w:type="dxa"/>
            <w:right w:w="15" w:type="dxa"/>
          </w:tblCellMar>
        </w:tblPrEx>
        <w:trPr>
          <w:trHeight w:val="480" w:hRule="atLeast"/>
        </w:trPr>
        <w:tc>
          <w:tcPr>
            <w:tcW w:w="130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资源勘查工程</w:t>
            </w:r>
          </w:p>
        </w:tc>
        <w:tc>
          <w:tcPr>
            <w:tcW w:w="57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68</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32</w:t>
            </w:r>
          </w:p>
        </w:tc>
        <w:tc>
          <w:tcPr>
            <w:tcW w:w="52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15.53 </w:t>
            </w:r>
          </w:p>
        </w:tc>
        <w:tc>
          <w:tcPr>
            <w:tcW w:w="43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22</w:t>
            </w:r>
          </w:p>
        </w:tc>
        <w:tc>
          <w:tcPr>
            <w:tcW w:w="108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1.08 </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13</w:t>
            </w:r>
          </w:p>
        </w:tc>
        <w:tc>
          <w:tcPr>
            <w:tcW w:w="55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19.12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4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1.15 </w:t>
            </w:r>
          </w:p>
        </w:tc>
        <w:tc>
          <w:tcPr>
            <w:tcW w:w="67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98.53 </w:t>
            </w:r>
          </w:p>
        </w:tc>
      </w:tr>
      <w:tr>
        <w:tblPrEx>
          <w:tblLayout w:type="fixed"/>
          <w:tblCellMar>
            <w:top w:w="15" w:type="dxa"/>
            <w:left w:w="15" w:type="dxa"/>
            <w:bottom w:w="15" w:type="dxa"/>
            <w:right w:w="15" w:type="dxa"/>
          </w:tblCellMar>
        </w:tblPrEx>
        <w:trPr>
          <w:trHeight w:val="286" w:hRule="atLeast"/>
        </w:trPr>
        <w:tc>
          <w:tcPr>
            <w:tcW w:w="130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安全工程</w:t>
            </w:r>
          </w:p>
        </w:tc>
        <w:tc>
          <w:tcPr>
            <w:tcW w:w="57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76</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29</w:t>
            </w:r>
          </w:p>
        </w:tc>
        <w:tc>
          <w:tcPr>
            <w:tcW w:w="52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14.08 </w:t>
            </w:r>
          </w:p>
        </w:tc>
        <w:tc>
          <w:tcPr>
            <w:tcW w:w="43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26</w:t>
            </w:r>
          </w:p>
        </w:tc>
        <w:tc>
          <w:tcPr>
            <w:tcW w:w="108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1.28 </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20</w:t>
            </w:r>
          </w:p>
        </w:tc>
        <w:tc>
          <w:tcPr>
            <w:tcW w:w="55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26.32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4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1.15 </w:t>
            </w:r>
          </w:p>
        </w:tc>
        <w:tc>
          <w:tcPr>
            <w:tcW w:w="67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98.68 </w:t>
            </w:r>
          </w:p>
        </w:tc>
      </w:tr>
      <w:tr>
        <w:tblPrEx>
          <w:tblLayout w:type="fixed"/>
          <w:tblCellMar>
            <w:top w:w="15" w:type="dxa"/>
            <w:left w:w="15" w:type="dxa"/>
            <w:bottom w:w="15" w:type="dxa"/>
            <w:right w:w="15" w:type="dxa"/>
          </w:tblCellMar>
        </w:tblPrEx>
        <w:trPr>
          <w:trHeight w:val="480" w:hRule="atLeast"/>
        </w:trPr>
        <w:tc>
          <w:tcPr>
            <w:tcW w:w="130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电气工程及其自动化</w:t>
            </w:r>
          </w:p>
        </w:tc>
        <w:tc>
          <w:tcPr>
            <w:tcW w:w="57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73</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w:t>
            </w:r>
          </w:p>
        </w:tc>
        <w:tc>
          <w:tcPr>
            <w:tcW w:w="52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12.14 </w:t>
            </w:r>
          </w:p>
        </w:tc>
        <w:tc>
          <w:tcPr>
            <w:tcW w:w="43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6.25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38</w:t>
            </w:r>
          </w:p>
        </w:tc>
        <w:tc>
          <w:tcPr>
            <w:tcW w:w="108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1.86 </w:t>
            </w:r>
          </w:p>
        </w:tc>
        <w:tc>
          <w:tcPr>
            <w:tcW w:w="45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555"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5.48 </w:t>
            </w:r>
          </w:p>
        </w:tc>
        <w:tc>
          <w:tcPr>
            <w:tcW w:w="5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54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5.75 </w:t>
            </w:r>
          </w:p>
        </w:tc>
        <w:tc>
          <w:tcPr>
            <w:tcW w:w="67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93.15 </w:t>
            </w:r>
          </w:p>
        </w:tc>
      </w:tr>
      <w:tr>
        <w:tblPrEx>
          <w:tblLayout w:type="fixed"/>
          <w:tblCellMar>
            <w:top w:w="15" w:type="dxa"/>
            <w:left w:w="15" w:type="dxa"/>
            <w:bottom w:w="15" w:type="dxa"/>
            <w:right w:w="15" w:type="dxa"/>
          </w:tblCellMar>
        </w:tblPrEx>
        <w:trPr>
          <w:trHeight w:val="286" w:hRule="atLeast"/>
        </w:trPr>
        <w:tc>
          <w:tcPr>
            <w:tcW w:w="1306"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总计</w:t>
            </w:r>
          </w:p>
        </w:tc>
        <w:tc>
          <w:tcPr>
            <w:tcW w:w="57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427</w:t>
            </w:r>
          </w:p>
        </w:tc>
        <w:tc>
          <w:tcPr>
            <w:tcW w:w="51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169</w:t>
            </w:r>
          </w:p>
        </w:tc>
        <w:tc>
          <w:tcPr>
            <w:tcW w:w="525"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39.58 </w:t>
            </w:r>
          </w:p>
        </w:tc>
        <w:tc>
          <w:tcPr>
            <w:tcW w:w="435"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45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0.23 </w:t>
            </w:r>
          </w:p>
        </w:tc>
        <w:tc>
          <w:tcPr>
            <w:tcW w:w="51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184</w:t>
            </w:r>
          </w:p>
        </w:tc>
        <w:tc>
          <w:tcPr>
            <w:tcW w:w="108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43.09 </w:t>
            </w:r>
          </w:p>
        </w:tc>
        <w:tc>
          <w:tcPr>
            <w:tcW w:w="45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61</w:t>
            </w:r>
          </w:p>
        </w:tc>
        <w:tc>
          <w:tcPr>
            <w:tcW w:w="555"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14.29 </w:t>
            </w:r>
          </w:p>
        </w:tc>
        <w:tc>
          <w:tcPr>
            <w:tcW w:w="51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w:t>
            </w:r>
          </w:p>
        </w:tc>
        <w:tc>
          <w:tcPr>
            <w:tcW w:w="540"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2.81 </w:t>
            </w:r>
          </w:p>
        </w:tc>
        <w:tc>
          <w:tcPr>
            <w:tcW w:w="674" w:type="dxa"/>
            <w:tcBorders>
              <w:top w:val="single" w:color="000000" w:sz="4"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97.19 </w:t>
            </w:r>
          </w:p>
        </w:tc>
      </w:tr>
    </w:tbl>
    <w:p>
      <w:pPr>
        <w:ind w:firstLine="640" w:firstLineChars="200"/>
        <w:rPr>
          <w:rFonts w:ascii="华文仿宋" w:hAnsi="华文仿宋" w:eastAsia="华文仿宋"/>
          <w:sz w:val="32"/>
          <w:szCs w:val="32"/>
        </w:rPr>
      </w:pP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从专科各专业就业来看，就业率与专业关系更为密切。其中机械设计与制造、煤矿开采技术、工程地质勘查、矿井通风与安全四个专业就业率均为100%。广告设计与制作的协议就业率最高，为11.17%。煤炭深加工与利用专业就业率最低，仅为18.92%。</w:t>
      </w:r>
    </w:p>
    <w:p>
      <w:pPr>
        <w:pStyle w:val="30"/>
        <w:spacing w:after="156"/>
        <w:jc w:val="center"/>
        <w:rPr>
          <w:rFonts w:ascii="华文仿宋" w:hAnsi="华文仿宋" w:eastAsia="华文仿宋" w:cstheme="minorBidi"/>
          <w:b w:val="0"/>
        </w:rPr>
      </w:pPr>
      <w:r>
        <w:rPr>
          <w:rStyle w:val="7"/>
          <w:rFonts w:hint="eastAsia"/>
          <w:b/>
          <w:bCs/>
          <w:sz w:val="24"/>
          <w:szCs w:val="24"/>
        </w:rPr>
        <w:t>表6 专科各专业就业率及毕业去向</w:t>
      </w:r>
    </w:p>
    <w:tbl>
      <w:tblPr>
        <w:tblStyle w:val="15"/>
        <w:tblW w:w="8300" w:type="dxa"/>
        <w:tblInd w:w="0" w:type="dxa"/>
        <w:tblLayout w:type="fixed"/>
        <w:tblCellMar>
          <w:top w:w="15" w:type="dxa"/>
          <w:left w:w="15" w:type="dxa"/>
          <w:bottom w:w="15" w:type="dxa"/>
          <w:right w:w="15" w:type="dxa"/>
        </w:tblCellMar>
      </w:tblPr>
      <w:tblGrid>
        <w:gridCol w:w="1026"/>
        <w:gridCol w:w="573"/>
        <w:gridCol w:w="434"/>
        <w:gridCol w:w="490"/>
        <w:gridCol w:w="463"/>
        <w:gridCol w:w="504"/>
        <w:gridCol w:w="1010"/>
        <w:gridCol w:w="1011"/>
        <w:gridCol w:w="364"/>
        <w:gridCol w:w="462"/>
        <w:gridCol w:w="434"/>
        <w:gridCol w:w="1010"/>
        <w:gridCol w:w="519"/>
      </w:tblGrid>
      <w:tr>
        <w:tblPrEx>
          <w:tblLayout w:type="fixed"/>
          <w:tblCellMar>
            <w:top w:w="15" w:type="dxa"/>
            <w:left w:w="15" w:type="dxa"/>
            <w:bottom w:w="15" w:type="dxa"/>
            <w:right w:w="15" w:type="dxa"/>
          </w:tblCellMar>
        </w:tblPrEx>
        <w:trPr>
          <w:trHeight w:val="345" w:hRule="atLeast"/>
        </w:trPr>
        <w:tc>
          <w:tcPr>
            <w:tcW w:w="1026" w:type="dxa"/>
            <w:vMerge w:val="restart"/>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专科专业</w:t>
            </w:r>
          </w:p>
        </w:tc>
        <w:tc>
          <w:tcPr>
            <w:tcW w:w="573" w:type="dxa"/>
            <w:vMerge w:val="restart"/>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专业人数</w:t>
            </w:r>
          </w:p>
        </w:tc>
        <w:tc>
          <w:tcPr>
            <w:tcW w:w="924"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协议就业</w:t>
            </w:r>
          </w:p>
        </w:tc>
        <w:tc>
          <w:tcPr>
            <w:tcW w:w="967"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项目就业</w:t>
            </w:r>
          </w:p>
        </w:tc>
        <w:tc>
          <w:tcPr>
            <w:tcW w:w="2021" w:type="dxa"/>
            <w:gridSpan w:val="2"/>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灵活就业</w:t>
            </w:r>
          </w:p>
        </w:tc>
        <w:tc>
          <w:tcPr>
            <w:tcW w:w="826"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专升本</w:t>
            </w:r>
          </w:p>
        </w:tc>
        <w:tc>
          <w:tcPr>
            <w:tcW w:w="1444" w:type="dxa"/>
            <w:gridSpan w:val="2"/>
            <w:tcBorders>
              <w:top w:val="single" w:color="000000" w:sz="18"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未就业</w:t>
            </w:r>
          </w:p>
        </w:tc>
        <w:tc>
          <w:tcPr>
            <w:tcW w:w="519" w:type="dxa"/>
            <w:vMerge w:val="restart"/>
            <w:tcBorders>
              <w:top w:val="single" w:color="000000" w:sz="18"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就业率/%</w:t>
            </w:r>
          </w:p>
        </w:tc>
      </w:tr>
      <w:tr>
        <w:tblPrEx>
          <w:tblLayout w:type="fixed"/>
          <w:tblCellMar>
            <w:top w:w="15" w:type="dxa"/>
            <w:left w:w="15" w:type="dxa"/>
            <w:bottom w:w="15" w:type="dxa"/>
            <w:right w:w="15" w:type="dxa"/>
          </w:tblCellMar>
        </w:tblPrEx>
        <w:trPr>
          <w:trHeight w:val="510" w:hRule="atLeast"/>
        </w:trPr>
        <w:tc>
          <w:tcPr>
            <w:tcW w:w="1026" w:type="dxa"/>
            <w:vMerge w:val="continue"/>
            <w:tcBorders>
              <w:top w:val="single" w:color="000000" w:sz="18" w:space="0"/>
              <w:bottom w:val="single" w:color="000000" w:sz="12" w:space="0"/>
            </w:tcBorders>
            <w:shd w:val="clear" w:color="auto" w:fill="auto"/>
            <w:vAlign w:val="center"/>
          </w:tcPr>
          <w:p>
            <w:pPr>
              <w:jc w:val="center"/>
              <w:rPr>
                <w:rFonts w:ascii="等线" w:hAnsi="等线" w:eastAsia="等线" w:cs="等线"/>
                <w:color w:val="000000"/>
                <w:sz w:val="18"/>
                <w:szCs w:val="18"/>
              </w:rPr>
            </w:pPr>
          </w:p>
        </w:tc>
        <w:tc>
          <w:tcPr>
            <w:tcW w:w="573" w:type="dxa"/>
            <w:vMerge w:val="continue"/>
            <w:tcBorders>
              <w:top w:val="single" w:color="000000" w:sz="18" w:space="0"/>
              <w:bottom w:val="single" w:color="000000" w:sz="12" w:space="0"/>
            </w:tcBorders>
            <w:shd w:val="clear" w:color="auto" w:fill="auto"/>
            <w:vAlign w:val="center"/>
          </w:tcPr>
          <w:p>
            <w:pPr>
              <w:jc w:val="center"/>
              <w:rPr>
                <w:rFonts w:ascii="等线" w:hAnsi="等线" w:eastAsia="等线" w:cs="等线"/>
                <w:color w:val="000000"/>
                <w:sz w:val="18"/>
                <w:szCs w:val="18"/>
              </w:rPr>
            </w:pPr>
          </w:p>
        </w:tc>
        <w:tc>
          <w:tcPr>
            <w:tcW w:w="434"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490"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463"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504"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1010" w:type="dxa"/>
            <w:tcBorders>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1011" w:type="dxa"/>
            <w:tcBorders>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364"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462"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434"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人数</w:t>
            </w:r>
          </w:p>
        </w:tc>
        <w:tc>
          <w:tcPr>
            <w:tcW w:w="1010" w:type="dxa"/>
            <w:tcBorders>
              <w:top w:val="single" w:color="000000" w:sz="12" w:space="0"/>
              <w:bottom w:val="single" w:color="000000" w:sz="12"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比例/%</w:t>
            </w:r>
          </w:p>
        </w:tc>
        <w:tc>
          <w:tcPr>
            <w:tcW w:w="519" w:type="dxa"/>
            <w:vMerge w:val="continue"/>
            <w:tcBorders>
              <w:top w:val="single" w:color="000000" w:sz="18" w:space="0"/>
              <w:bottom w:val="single" w:color="000000" w:sz="12" w:space="0"/>
            </w:tcBorders>
            <w:shd w:val="clear" w:color="auto" w:fill="auto"/>
            <w:vAlign w:val="center"/>
          </w:tcPr>
          <w:p>
            <w:pPr>
              <w:jc w:val="center"/>
              <w:rPr>
                <w:rFonts w:ascii="等线" w:hAnsi="等线" w:eastAsia="等线" w:cs="等线"/>
                <w:color w:val="000000"/>
                <w:sz w:val="18"/>
                <w:szCs w:val="18"/>
              </w:rPr>
            </w:pPr>
          </w:p>
        </w:tc>
      </w:tr>
      <w:tr>
        <w:tblPrEx>
          <w:tblLayout w:type="fixed"/>
          <w:tblCellMar>
            <w:top w:w="15" w:type="dxa"/>
            <w:left w:w="15" w:type="dxa"/>
            <w:bottom w:w="15" w:type="dxa"/>
            <w:right w:w="15" w:type="dxa"/>
          </w:tblCellMar>
        </w:tblPrEx>
        <w:trPr>
          <w:trHeight w:val="480" w:hRule="atLeast"/>
        </w:trPr>
        <w:tc>
          <w:tcPr>
            <w:tcW w:w="1026"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机械设计与制造</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57</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53</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2.6</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7.02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r>
      <w:tr>
        <w:tblPrEx>
          <w:tblLayout w:type="fixed"/>
          <w:tblCellMar>
            <w:top w:w="15" w:type="dxa"/>
            <w:left w:w="15" w:type="dxa"/>
            <w:bottom w:w="15" w:type="dxa"/>
            <w:right w:w="15" w:type="dxa"/>
          </w:tblCellMar>
        </w:tblPrEx>
        <w:trPr>
          <w:trHeight w:val="286" w:hRule="atLeast"/>
        </w:trPr>
        <w:tc>
          <w:tcPr>
            <w:tcW w:w="1026"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矿山机电</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46</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6.25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38</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1.86</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0.00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8.05</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84.78</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煤矿开采技术</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24</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19</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0.93</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20.83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建筑工程管理</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127</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0.49</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6.25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112</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5.49</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3.94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9.2</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93.7</w:t>
            </w:r>
          </w:p>
        </w:tc>
      </w:tr>
      <w:tr>
        <w:tblPrEx>
          <w:tblLayout w:type="fixed"/>
          <w:tblCellMar>
            <w:top w:w="15" w:type="dxa"/>
            <w:left w:w="15" w:type="dxa"/>
            <w:bottom w:w="15" w:type="dxa"/>
            <w:right w:w="15" w:type="dxa"/>
          </w:tblCellMar>
        </w:tblPrEx>
        <w:trPr>
          <w:trHeight w:val="480"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煤炭深加工与利用</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37</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0.29</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2.70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34.48</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18.92</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工程地质勘查</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38</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38</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1.86</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0.00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矿山测量</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21</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1.46</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13</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0.64</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14.29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2.3</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90.48</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工商企业管理</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151</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0.97</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144</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7.06</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2.65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1.15</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99.34</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市场营销</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149</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6.25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141</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6.92</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4.03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1.15</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99.33</w:t>
            </w:r>
          </w:p>
        </w:tc>
      </w:tr>
      <w:tr>
        <w:tblPrEx>
          <w:tblLayout w:type="fixed"/>
          <w:tblCellMar>
            <w:top w:w="15" w:type="dxa"/>
            <w:left w:w="15" w:type="dxa"/>
            <w:bottom w:w="15" w:type="dxa"/>
            <w:right w:w="15" w:type="dxa"/>
          </w:tblCellMar>
        </w:tblPrEx>
        <w:trPr>
          <w:trHeight w:val="286"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会计电算化</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905</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1.94</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6.25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832</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40.8</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60</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6.63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9.2</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99.12</w:t>
            </w:r>
          </w:p>
        </w:tc>
      </w:tr>
      <w:tr>
        <w:tblPrEx>
          <w:tblLayout w:type="fixed"/>
          <w:tblCellMar>
            <w:top w:w="15" w:type="dxa"/>
            <w:left w:w="15" w:type="dxa"/>
            <w:bottom w:w="15" w:type="dxa"/>
            <w:right w:w="15" w:type="dxa"/>
          </w:tblCellMar>
        </w:tblPrEx>
        <w:trPr>
          <w:trHeight w:val="480"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矿井通风与安全</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23</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6.25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17</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0.83</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21.74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100</w:t>
            </w:r>
          </w:p>
        </w:tc>
      </w:tr>
      <w:tr>
        <w:tblPrEx>
          <w:tblLayout w:type="fixed"/>
          <w:tblCellMar>
            <w:top w:w="15" w:type="dxa"/>
            <w:left w:w="15" w:type="dxa"/>
            <w:bottom w:w="15" w:type="dxa"/>
            <w:right w:w="15" w:type="dxa"/>
          </w:tblCellMar>
        </w:tblPrEx>
        <w:trPr>
          <w:trHeight w:val="480"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计算机应用技术</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319</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0.97</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43.75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278</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13.63</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23</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7.21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10.34</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97.18</w:t>
            </w:r>
          </w:p>
        </w:tc>
      </w:tr>
      <w:tr>
        <w:tblPrEx>
          <w:tblLayout w:type="fixed"/>
          <w:tblCellMar>
            <w:top w:w="15" w:type="dxa"/>
            <w:left w:w="15" w:type="dxa"/>
            <w:bottom w:w="15" w:type="dxa"/>
            <w:right w:w="15" w:type="dxa"/>
          </w:tblCellMar>
        </w:tblPrEx>
        <w:trPr>
          <w:trHeight w:val="480"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计算机信息管理</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127</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0.97</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18.75</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118</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5.79</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0.00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4.6</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96.85</w:t>
            </w:r>
          </w:p>
        </w:tc>
      </w:tr>
      <w:tr>
        <w:tblPrEx>
          <w:tblLayout w:type="fixed"/>
          <w:tblCellMar>
            <w:top w:w="15" w:type="dxa"/>
            <w:left w:w="15" w:type="dxa"/>
            <w:bottom w:w="15" w:type="dxa"/>
            <w:right w:w="15" w:type="dxa"/>
          </w:tblCellMar>
        </w:tblPrEx>
        <w:trPr>
          <w:trHeight w:val="480"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广告设计与制作</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50</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23</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11.17</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21</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1.03</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8.00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2.3</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96.00 </w:t>
            </w:r>
          </w:p>
        </w:tc>
      </w:tr>
      <w:tr>
        <w:tblPrEx>
          <w:tblLayout w:type="fixed"/>
          <w:tblCellMar>
            <w:top w:w="15" w:type="dxa"/>
            <w:left w:w="15" w:type="dxa"/>
            <w:bottom w:w="15" w:type="dxa"/>
            <w:right w:w="15" w:type="dxa"/>
          </w:tblCellMar>
        </w:tblPrEx>
        <w:trPr>
          <w:trHeight w:val="675" w:hRule="atLeast"/>
        </w:trPr>
        <w:tc>
          <w:tcPr>
            <w:tcW w:w="1026" w:type="dxa"/>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应用电子技术</w:t>
            </w:r>
          </w:p>
        </w:tc>
        <w:tc>
          <w:tcPr>
            <w:tcW w:w="57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29</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9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463"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50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0</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w:t>
            </w:r>
          </w:p>
        </w:tc>
        <w:tc>
          <w:tcPr>
            <w:tcW w:w="1011"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1.23</w:t>
            </w:r>
          </w:p>
        </w:tc>
        <w:tc>
          <w:tcPr>
            <w:tcW w:w="36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462"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3.45 </w:t>
            </w:r>
          </w:p>
        </w:tc>
        <w:tc>
          <w:tcPr>
            <w:tcW w:w="434"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1010"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3.45</w:t>
            </w:r>
          </w:p>
        </w:tc>
        <w:tc>
          <w:tcPr>
            <w:tcW w:w="519" w:type="dxa"/>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89.66</w:t>
            </w:r>
          </w:p>
        </w:tc>
      </w:tr>
      <w:tr>
        <w:tblPrEx>
          <w:tblLayout w:type="fixed"/>
          <w:tblCellMar>
            <w:top w:w="15" w:type="dxa"/>
            <w:left w:w="15" w:type="dxa"/>
            <w:bottom w:w="15" w:type="dxa"/>
            <w:right w:w="15" w:type="dxa"/>
          </w:tblCellMar>
        </w:tblPrEx>
        <w:trPr>
          <w:trHeight w:val="286" w:hRule="atLeast"/>
        </w:trPr>
        <w:tc>
          <w:tcPr>
            <w:tcW w:w="1026"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合计</w:t>
            </w:r>
          </w:p>
        </w:tc>
        <w:tc>
          <w:tcPr>
            <w:tcW w:w="573"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2103</w:t>
            </w:r>
          </w:p>
        </w:tc>
        <w:tc>
          <w:tcPr>
            <w:tcW w:w="434"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37</w:t>
            </w:r>
          </w:p>
        </w:tc>
        <w:tc>
          <w:tcPr>
            <w:tcW w:w="490"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1.76 </w:t>
            </w:r>
          </w:p>
        </w:tc>
        <w:tc>
          <w:tcPr>
            <w:tcW w:w="463"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15</w:t>
            </w:r>
          </w:p>
        </w:tc>
        <w:tc>
          <w:tcPr>
            <w:tcW w:w="504"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0.71 </w:t>
            </w:r>
          </w:p>
        </w:tc>
        <w:tc>
          <w:tcPr>
            <w:tcW w:w="1010"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1855</w:t>
            </w:r>
          </w:p>
        </w:tc>
        <w:tc>
          <w:tcPr>
            <w:tcW w:w="1011"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88.21 </w:t>
            </w:r>
          </w:p>
        </w:tc>
        <w:tc>
          <w:tcPr>
            <w:tcW w:w="364"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121</w:t>
            </w:r>
          </w:p>
        </w:tc>
        <w:tc>
          <w:tcPr>
            <w:tcW w:w="462"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5.75 </w:t>
            </w:r>
          </w:p>
        </w:tc>
        <w:tc>
          <w:tcPr>
            <w:tcW w:w="434"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75</w:t>
            </w:r>
          </w:p>
        </w:tc>
        <w:tc>
          <w:tcPr>
            <w:tcW w:w="1010"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3.57 </w:t>
            </w:r>
          </w:p>
        </w:tc>
        <w:tc>
          <w:tcPr>
            <w:tcW w:w="519" w:type="dxa"/>
            <w:tcBorders>
              <w:top w:val="single" w:color="000000" w:sz="4" w:space="0"/>
              <w:bottom w:val="single" w:color="000000" w:sz="12" w:space="0"/>
            </w:tcBorders>
            <w:shd w:val="clear" w:color="auto" w:fill="FFFFFF"/>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96.43 </w:t>
            </w:r>
          </w:p>
        </w:tc>
      </w:tr>
    </w:tbl>
    <w:p>
      <w:pPr>
        <w:pStyle w:val="20"/>
        <w:spacing w:beforeLines="0" w:afterLines="0"/>
        <w:ind w:firstLine="360"/>
        <w:rPr>
          <w:sz w:val="18"/>
          <w:szCs w:val="18"/>
        </w:rPr>
      </w:pPr>
      <w:r>
        <w:rPr>
          <w:rFonts w:hint="eastAsia"/>
          <w:sz w:val="18"/>
          <w:szCs w:val="18"/>
        </w:rPr>
        <w:t>注</w:t>
      </w:r>
      <w:r>
        <w:rPr>
          <w:sz w:val="18"/>
          <w:szCs w:val="18"/>
        </w:rPr>
        <w:t>：</w:t>
      </w:r>
      <w:r>
        <w:rPr>
          <w:rFonts w:hint="eastAsia"/>
          <w:sz w:val="18"/>
          <w:szCs w:val="18"/>
        </w:rPr>
        <w:t>就业率</w:t>
      </w:r>
      <w:r>
        <w:rPr>
          <w:sz w:val="18"/>
          <w:szCs w:val="18"/>
        </w:rPr>
        <w:t>={升学</w:t>
      </w:r>
      <w:r>
        <w:rPr>
          <w:rFonts w:hint="eastAsia"/>
          <w:sz w:val="18"/>
          <w:szCs w:val="18"/>
        </w:rPr>
        <w:t>人数+就业</w:t>
      </w:r>
      <w:r>
        <w:rPr>
          <w:sz w:val="18"/>
          <w:szCs w:val="18"/>
        </w:rPr>
        <w:t>人数（</w:t>
      </w:r>
      <w:r>
        <w:rPr>
          <w:rFonts w:hint="eastAsia"/>
          <w:sz w:val="18"/>
          <w:szCs w:val="18"/>
        </w:rPr>
        <w:t>协议</w:t>
      </w:r>
      <w:r>
        <w:rPr>
          <w:sz w:val="18"/>
          <w:szCs w:val="18"/>
        </w:rPr>
        <w:t>人数</w:t>
      </w:r>
      <w:r>
        <w:rPr>
          <w:rFonts w:hint="eastAsia"/>
          <w:sz w:val="18"/>
          <w:szCs w:val="18"/>
        </w:rPr>
        <w:t>+灵活</w:t>
      </w:r>
      <w:r>
        <w:rPr>
          <w:sz w:val="18"/>
          <w:szCs w:val="18"/>
        </w:rPr>
        <w:t>就业人数</w:t>
      </w:r>
      <w:r>
        <w:rPr>
          <w:rFonts w:hint="eastAsia"/>
          <w:sz w:val="18"/>
          <w:szCs w:val="18"/>
        </w:rPr>
        <w:t>+预征</w:t>
      </w:r>
      <w:r>
        <w:rPr>
          <w:sz w:val="18"/>
          <w:szCs w:val="18"/>
        </w:rPr>
        <w:t>入伍人数</w:t>
      </w:r>
      <w:r>
        <w:rPr>
          <w:rFonts w:hint="eastAsia"/>
          <w:sz w:val="18"/>
          <w:szCs w:val="18"/>
        </w:rPr>
        <w:t>）</w:t>
      </w:r>
      <w:r>
        <w:rPr>
          <w:sz w:val="18"/>
          <w:szCs w:val="18"/>
        </w:rPr>
        <w:t>}/</w:t>
      </w:r>
      <w:r>
        <w:rPr>
          <w:rFonts w:hint="eastAsia"/>
          <w:sz w:val="18"/>
          <w:szCs w:val="18"/>
        </w:rPr>
        <w:t>毕业生</w:t>
      </w:r>
      <w:r>
        <w:rPr>
          <w:sz w:val="18"/>
          <w:szCs w:val="18"/>
        </w:rPr>
        <w:t>人数*100.00%。毕业生</w:t>
      </w:r>
      <w:r>
        <w:rPr>
          <w:rFonts w:hint="eastAsia"/>
          <w:sz w:val="18"/>
          <w:szCs w:val="18"/>
        </w:rPr>
        <w:t>情况</w:t>
      </w:r>
      <w:r>
        <w:rPr>
          <w:sz w:val="18"/>
          <w:szCs w:val="18"/>
        </w:rPr>
        <w:t>统计截止</w:t>
      </w:r>
      <w:r>
        <w:rPr>
          <w:rFonts w:hint="eastAsia"/>
          <w:sz w:val="18"/>
          <w:szCs w:val="18"/>
        </w:rPr>
        <w:t>2018年12月4日</w:t>
      </w:r>
      <w:r>
        <w:rPr>
          <w:sz w:val="18"/>
          <w:szCs w:val="18"/>
        </w:rPr>
        <w:t>。</w:t>
      </w:r>
    </w:p>
    <w:p>
      <w:pPr>
        <w:pStyle w:val="20"/>
        <w:spacing w:beforeLines="0" w:afterLines="0"/>
        <w:ind w:firstLine="360"/>
        <w:rPr>
          <w:sz w:val="18"/>
          <w:szCs w:val="18"/>
        </w:rPr>
      </w:pPr>
    </w:p>
    <w:p>
      <w:pPr>
        <w:pStyle w:val="20"/>
        <w:spacing w:beforeLines="0" w:afterLines="0"/>
        <w:rPr>
          <w:sz w:val="18"/>
          <w:szCs w:val="18"/>
        </w:rPr>
      </w:pPr>
      <w:r>
        <w:drawing>
          <wp:anchor distT="0" distB="0" distL="114300" distR="114300" simplePos="0" relativeHeight="251662336" behindDoc="0" locked="0" layoutInCell="1" allowOverlap="1">
            <wp:simplePos x="0" y="0"/>
            <wp:positionH relativeFrom="column">
              <wp:posOffset>19050</wp:posOffset>
            </wp:positionH>
            <wp:positionV relativeFrom="paragraph">
              <wp:posOffset>171450</wp:posOffset>
            </wp:positionV>
            <wp:extent cx="5238750" cy="2952750"/>
            <wp:effectExtent l="0" t="0" r="19050" b="19050"/>
            <wp:wrapNone/>
            <wp:docPr id="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2"/>
        <w:spacing w:after="156"/>
        <w:ind w:firstLine="482"/>
        <w:rPr>
          <w:rStyle w:val="7"/>
          <w:sz w:val="24"/>
          <w:szCs w:val="24"/>
        </w:rPr>
      </w:pPr>
    </w:p>
    <w:p>
      <w:pPr>
        <w:tabs>
          <w:tab w:val="left" w:pos="6618"/>
        </w:tabs>
        <w:ind w:firstLine="640" w:firstLineChars="200"/>
        <w:rPr>
          <w:rFonts w:ascii="华文仿宋" w:hAnsi="华文仿宋" w:eastAsia="华文仿宋"/>
          <w:sz w:val="32"/>
          <w:szCs w:val="32"/>
        </w:rPr>
      </w:pPr>
    </w:p>
    <w:p>
      <w:pPr>
        <w:tabs>
          <w:tab w:val="left" w:pos="6618"/>
        </w:tabs>
        <w:ind w:firstLine="640" w:firstLineChars="200"/>
        <w:rPr>
          <w:rFonts w:ascii="华文仿宋" w:hAnsi="华文仿宋" w:eastAsia="华文仿宋"/>
          <w:sz w:val="32"/>
          <w:szCs w:val="32"/>
        </w:rPr>
      </w:pPr>
    </w:p>
    <w:p>
      <w:pPr>
        <w:tabs>
          <w:tab w:val="left" w:pos="6618"/>
        </w:tabs>
        <w:ind w:firstLine="640" w:firstLineChars="200"/>
        <w:rPr>
          <w:rFonts w:ascii="华文仿宋" w:hAnsi="华文仿宋" w:eastAsia="华文仿宋"/>
          <w:sz w:val="32"/>
          <w:szCs w:val="32"/>
        </w:rPr>
      </w:pPr>
    </w:p>
    <w:p>
      <w:pPr>
        <w:tabs>
          <w:tab w:val="left" w:pos="6618"/>
        </w:tabs>
        <w:ind w:firstLine="640" w:firstLineChars="200"/>
        <w:rPr>
          <w:rFonts w:ascii="华文仿宋" w:hAnsi="华文仿宋" w:eastAsia="华文仿宋"/>
          <w:sz w:val="32"/>
          <w:szCs w:val="32"/>
        </w:rPr>
      </w:pPr>
    </w:p>
    <w:p>
      <w:pPr>
        <w:tabs>
          <w:tab w:val="left" w:pos="6618"/>
        </w:tabs>
        <w:ind w:firstLine="640" w:firstLineChars="200"/>
        <w:rPr>
          <w:rFonts w:ascii="华文仿宋" w:hAnsi="华文仿宋" w:eastAsia="华文仿宋"/>
          <w:sz w:val="32"/>
          <w:szCs w:val="32"/>
        </w:rPr>
      </w:pPr>
    </w:p>
    <w:p>
      <w:pPr>
        <w:tabs>
          <w:tab w:val="left" w:pos="6618"/>
        </w:tabs>
        <w:ind w:firstLine="640" w:firstLineChars="200"/>
        <w:rPr>
          <w:rFonts w:ascii="华文仿宋" w:hAnsi="华文仿宋" w:eastAsia="华文仿宋"/>
          <w:sz w:val="32"/>
          <w:szCs w:val="32"/>
        </w:rPr>
      </w:pPr>
    </w:p>
    <w:p>
      <w:pPr>
        <w:pStyle w:val="22"/>
        <w:spacing w:after="156"/>
        <w:ind w:firstLine="482"/>
        <w:rPr>
          <w:rStyle w:val="7"/>
          <w:sz w:val="24"/>
          <w:szCs w:val="24"/>
        </w:rPr>
      </w:pPr>
    </w:p>
    <w:p>
      <w:pPr>
        <w:pStyle w:val="22"/>
        <w:spacing w:after="156"/>
        <w:ind w:firstLine="482"/>
        <w:rPr>
          <w:rStyle w:val="7"/>
          <w:sz w:val="24"/>
          <w:szCs w:val="24"/>
        </w:rPr>
      </w:pPr>
      <w:r>
        <w:rPr>
          <w:rStyle w:val="7"/>
          <w:rFonts w:hint="eastAsia"/>
          <w:sz w:val="24"/>
          <w:szCs w:val="24"/>
        </w:rPr>
        <w:t>图3  选择省外就业情况统计</w:t>
      </w:r>
    </w:p>
    <w:p>
      <w:pPr>
        <w:tabs>
          <w:tab w:val="left" w:pos="6618"/>
        </w:tabs>
        <w:rPr>
          <w:rFonts w:ascii="华文仿宋" w:hAnsi="华文仿宋" w:eastAsia="华文仿宋"/>
          <w:sz w:val="32"/>
          <w:szCs w:val="32"/>
        </w:rPr>
      </w:pPr>
    </w:p>
    <w:p>
      <w:pPr>
        <w:pStyle w:val="22"/>
        <w:spacing w:after="156"/>
        <w:ind w:firstLine="482"/>
        <w:rPr>
          <w:rStyle w:val="7"/>
          <w:sz w:val="24"/>
          <w:szCs w:val="24"/>
        </w:rPr>
      </w:pPr>
      <w:r>
        <w:rPr>
          <w:rStyle w:val="7"/>
          <w:rFonts w:hint="eastAsia"/>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53340</wp:posOffset>
            </wp:positionV>
            <wp:extent cx="5324475" cy="2943225"/>
            <wp:effectExtent l="0" t="0" r="9525" b="9525"/>
            <wp:wrapSquare wrapText="bothSides"/>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Style w:val="7"/>
          <w:rFonts w:hint="eastAsia"/>
          <w:sz w:val="24"/>
          <w:szCs w:val="24"/>
        </w:rPr>
        <w:t>图4  选择省内就业情况统计</w:t>
      </w:r>
    </w:p>
    <w:p>
      <w:pPr>
        <w:tabs>
          <w:tab w:val="left" w:pos="6618"/>
        </w:tabs>
        <w:ind w:firstLine="640" w:firstLineChars="200"/>
        <w:rPr>
          <w:rFonts w:ascii="华文仿宋" w:hAnsi="华文仿宋" w:eastAsia="华文仿宋"/>
          <w:sz w:val="32"/>
          <w:szCs w:val="32"/>
        </w:rPr>
      </w:pPr>
    </w:p>
    <w:p>
      <w:pPr>
        <w:tabs>
          <w:tab w:val="left" w:pos="6618"/>
        </w:tabs>
        <w:ind w:firstLine="640" w:firstLineChars="200"/>
        <w:rPr>
          <w:b/>
          <w:bCs/>
          <w:sz w:val="24"/>
          <w:szCs w:val="24"/>
        </w:rPr>
      </w:pPr>
      <w:r>
        <w:rPr>
          <w:rFonts w:hint="eastAsia" w:ascii="华文仿宋" w:hAnsi="华文仿宋" w:eastAsia="华文仿宋"/>
          <w:sz w:val="32"/>
          <w:szCs w:val="32"/>
        </w:rPr>
        <w:t>从就业地域的选择来看，大部分毕业生选择在本省就业。进一步调查表明，主要集中在太原市和晋中市；到外省就业，更多选择北上广及东部沿海经济发达地区。</w:t>
      </w:r>
    </w:p>
    <w:p>
      <w:pPr>
        <w:tabs>
          <w:tab w:val="left" w:pos="6618"/>
        </w:tabs>
        <w:rPr>
          <w:rFonts w:ascii="华文仿宋" w:hAnsi="华文仿宋" w:eastAsia="华文仿宋"/>
          <w:b/>
          <w:bCs/>
          <w:sz w:val="32"/>
          <w:szCs w:val="32"/>
        </w:rPr>
      </w:pPr>
      <w:r>
        <w:rPr>
          <w:rFonts w:hint="eastAsia" w:ascii="华文仿宋" w:hAnsi="华文仿宋" w:eastAsia="华文仿宋"/>
          <w:b/>
          <w:bCs/>
          <w:sz w:val="32"/>
          <w:szCs w:val="32"/>
        </w:rPr>
        <w:t>4.协议就业情况</w:t>
      </w:r>
    </w:p>
    <w:p>
      <w:pPr>
        <w:tabs>
          <w:tab w:val="left" w:pos="6618"/>
        </w:tabs>
        <w:ind w:firstLine="640" w:firstLineChars="200"/>
        <w:rPr>
          <w:rFonts w:ascii="华文仿宋" w:hAnsi="华文仿宋" w:eastAsia="华文仿宋"/>
          <w:sz w:val="32"/>
          <w:szCs w:val="32"/>
        </w:rPr>
      </w:pPr>
      <w:r>
        <w:rPr>
          <w:rFonts w:hint="eastAsia" w:ascii="华文仿宋" w:hAnsi="华文仿宋" w:eastAsia="华文仿宋"/>
          <w:sz w:val="32"/>
          <w:szCs w:val="32"/>
        </w:rPr>
        <w:t>对协议就业毕业生按照就业行业进行统计，发现从事采矿业、建筑业、电力、热力、燃气及水生产和供应行业方面的人数较多。</w:t>
      </w:r>
    </w:p>
    <w:tbl>
      <w:tblPr>
        <w:tblStyle w:val="15"/>
        <w:tblW w:w="8693" w:type="dxa"/>
        <w:tblInd w:w="108" w:type="dxa"/>
        <w:tblLayout w:type="fixed"/>
        <w:tblCellMar>
          <w:top w:w="0" w:type="dxa"/>
          <w:left w:w="108" w:type="dxa"/>
          <w:bottom w:w="0" w:type="dxa"/>
          <w:right w:w="108" w:type="dxa"/>
        </w:tblCellMar>
      </w:tblPr>
      <w:tblGrid>
        <w:gridCol w:w="4100"/>
        <w:gridCol w:w="546"/>
        <w:gridCol w:w="986"/>
        <w:gridCol w:w="543"/>
        <w:gridCol w:w="986"/>
        <w:gridCol w:w="546"/>
        <w:gridCol w:w="986"/>
      </w:tblGrid>
      <w:tr>
        <w:tblPrEx>
          <w:tblLayout w:type="fixed"/>
          <w:tblCellMar>
            <w:top w:w="0" w:type="dxa"/>
            <w:left w:w="108" w:type="dxa"/>
            <w:bottom w:w="0" w:type="dxa"/>
            <w:right w:w="108" w:type="dxa"/>
          </w:tblCellMar>
        </w:tblPrEx>
        <w:trPr>
          <w:trHeight w:val="468" w:hRule="atLeast"/>
        </w:trPr>
        <w:tc>
          <w:tcPr>
            <w:tcW w:w="8693" w:type="dxa"/>
            <w:gridSpan w:val="7"/>
            <w:vMerge w:val="restart"/>
            <w:tcBorders>
              <w:top w:val="nil"/>
              <w:left w:val="nil"/>
              <w:bottom w:val="single" w:color="000000" w:sz="8" w:space="0"/>
              <w:right w:val="nil"/>
            </w:tcBorders>
            <w:shd w:val="clear" w:color="auto" w:fill="auto"/>
            <w:vAlign w:val="center"/>
          </w:tcPr>
          <w:p>
            <w:pPr>
              <w:pStyle w:val="22"/>
              <w:spacing w:after="156"/>
              <w:ind w:firstLine="482"/>
              <w:rPr>
                <w:rFonts w:ascii="宋体" w:hAnsi="宋体" w:eastAsia="宋体" w:cs="宋体"/>
                <w:b/>
                <w:bCs/>
                <w:color w:val="000000"/>
                <w:kern w:val="0"/>
                <w:sz w:val="22"/>
              </w:rPr>
            </w:pPr>
            <w:r>
              <w:rPr>
                <w:rStyle w:val="7"/>
                <w:rFonts w:hint="eastAsia"/>
                <w:sz w:val="24"/>
                <w:szCs w:val="24"/>
              </w:rPr>
              <w:t>表7 签三方就业毕业生的单位行业分布</w:t>
            </w:r>
          </w:p>
        </w:tc>
      </w:tr>
      <w:tr>
        <w:tblPrEx>
          <w:tblLayout w:type="fixed"/>
          <w:tblCellMar>
            <w:top w:w="0" w:type="dxa"/>
            <w:left w:w="108" w:type="dxa"/>
            <w:bottom w:w="0" w:type="dxa"/>
            <w:right w:w="108" w:type="dxa"/>
          </w:tblCellMar>
        </w:tblPrEx>
        <w:trPr>
          <w:trHeight w:val="312" w:hRule="atLeast"/>
        </w:trPr>
        <w:tc>
          <w:tcPr>
            <w:tcW w:w="8693" w:type="dxa"/>
            <w:gridSpan w:val="7"/>
            <w:vMerge w:val="continue"/>
            <w:tcBorders>
              <w:top w:val="nil"/>
              <w:left w:val="nil"/>
              <w:bottom w:val="single" w:color="000000" w:sz="8" w:space="0"/>
              <w:right w:val="nil"/>
            </w:tcBorders>
            <w:vAlign w:val="center"/>
          </w:tcPr>
          <w:p>
            <w:pPr>
              <w:widowControl/>
              <w:jc w:val="left"/>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288" w:hRule="atLeast"/>
        </w:trPr>
        <w:tc>
          <w:tcPr>
            <w:tcW w:w="4100" w:type="dxa"/>
            <w:vMerge w:val="restart"/>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单位行业</w:t>
            </w:r>
          </w:p>
        </w:tc>
        <w:tc>
          <w:tcPr>
            <w:tcW w:w="1532" w:type="dxa"/>
            <w:gridSpan w:val="2"/>
            <w:tcBorders>
              <w:top w:val="single" w:color="auto" w:sz="8" w:space="0"/>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本科</w:t>
            </w:r>
          </w:p>
        </w:tc>
        <w:tc>
          <w:tcPr>
            <w:tcW w:w="1529" w:type="dxa"/>
            <w:gridSpan w:val="2"/>
            <w:tcBorders>
              <w:top w:val="single" w:color="auto" w:sz="8" w:space="0"/>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tc>
        <w:tc>
          <w:tcPr>
            <w:tcW w:w="1532" w:type="dxa"/>
            <w:gridSpan w:val="2"/>
            <w:tcBorders>
              <w:top w:val="single" w:color="auto" w:sz="8" w:space="0"/>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总计</w:t>
            </w:r>
          </w:p>
        </w:tc>
      </w:tr>
      <w:tr>
        <w:tblPrEx>
          <w:tblLayout w:type="fixed"/>
          <w:tblCellMar>
            <w:top w:w="0" w:type="dxa"/>
            <w:left w:w="108" w:type="dxa"/>
            <w:bottom w:w="0" w:type="dxa"/>
            <w:right w:w="108" w:type="dxa"/>
          </w:tblCellMar>
        </w:tblPrEx>
        <w:trPr>
          <w:trHeight w:val="288" w:hRule="atLeast"/>
        </w:trPr>
        <w:tc>
          <w:tcPr>
            <w:tcW w:w="4100" w:type="dxa"/>
            <w:vMerge w:val="continue"/>
            <w:tcBorders>
              <w:top w:val="nil"/>
              <w:left w:val="nil"/>
              <w:bottom w:val="single" w:color="000000" w:sz="4" w:space="0"/>
              <w:right w:val="nil"/>
            </w:tcBorders>
            <w:vAlign w:val="center"/>
          </w:tcPr>
          <w:p>
            <w:pPr>
              <w:widowControl/>
              <w:jc w:val="left"/>
              <w:rPr>
                <w:rFonts w:ascii="宋体" w:hAnsi="宋体" w:eastAsia="宋体" w:cs="宋体"/>
                <w:color w:val="000000"/>
                <w:kern w:val="0"/>
                <w:sz w:val="22"/>
              </w:rPr>
            </w:pPr>
          </w:p>
        </w:tc>
        <w:tc>
          <w:tcPr>
            <w:tcW w:w="54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9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比例</w:t>
            </w:r>
          </w:p>
        </w:tc>
        <w:tc>
          <w:tcPr>
            <w:tcW w:w="543"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9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比例</w:t>
            </w:r>
          </w:p>
        </w:tc>
        <w:tc>
          <w:tcPr>
            <w:tcW w:w="54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98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比例</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信息传输、软件和信息技术服务业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1.78%</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2.91%</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科学研究和技术服务业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5.92%</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6.31%</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教育</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制造业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14.20%</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13.59%</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电力、热力、燃气及水生产和供应业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15.98%</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14.56%</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18.34%</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16.50%</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房地产业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7.69%</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7.28%</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租赁和商业服务业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0.59%</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0.49%</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文化、体育和娱乐业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18.92%</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4.37%</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卫生和社会工作</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0.97%</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批发和零售业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1.94%</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水利、环境和公共设施管理业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0.59%</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0.49%</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交通运输、仓储和邮政业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5.92%</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4.85%</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军队</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0.59%</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0.49%</w:t>
            </w:r>
          </w:p>
        </w:tc>
      </w:tr>
      <w:tr>
        <w:tblPrEx>
          <w:tblLayout w:type="fixed"/>
          <w:tblCellMar>
            <w:top w:w="0" w:type="dxa"/>
            <w:left w:w="108" w:type="dxa"/>
            <w:bottom w:w="0" w:type="dxa"/>
            <w:right w:w="108" w:type="dxa"/>
          </w:tblCellMar>
        </w:tblPrEx>
        <w:trPr>
          <w:trHeight w:val="288" w:hRule="atLeast"/>
        </w:trPr>
        <w:tc>
          <w:tcPr>
            <w:tcW w:w="41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采矿业</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26.04%</w:t>
            </w:r>
          </w:p>
        </w:tc>
        <w:tc>
          <w:tcPr>
            <w:tcW w:w="543"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13.51%</w:t>
            </w:r>
          </w:p>
        </w:tc>
        <w:tc>
          <w:tcPr>
            <w:tcW w:w="54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98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23.79%</w:t>
            </w:r>
          </w:p>
        </w:tc>
      </w:tr>
      <w:tr>
        <w:tblPrEx>
          <w:tblLayout w:type="fixed"/>
          <w:tblCellMar>
            <w:top w:w="0" w:type="dxa"/>
            <w:left w:w="108" w:type="dxa"/>
            <w:bottom w:w="0" w:type="dxa"/>
            <w:right w:w="108" w:type="dxa"/>
          </w:tblCellMar>
        </w:tblPrEx>
        <w:trPr>
          <w:trHeight w:val="300" w:hRule="atLeast"/>
        </w:trPr>
        <w:tc>
          <w:tcPr>
            <w:tcW w:w="4100"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总计</w:t>
            </w:r>
          </w:p>
        </w:tc>
        <w:tc>
          <w:tcPr>
            <w:tcW w:w="54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169</w:t>
            </w:r>
          </w:p>
        </w:tc>
        <w:tc>
          <w:tcPr>
            <w:tcW w:w="98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543"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98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54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98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bl>
    <w:p>
      <w:pPr>
        <w:tabs>
          <w:tab w:val="left" w:pos="6618"/>
        </w:tabs>
        <w:ind w:firstLine="640" w:firstLineChars="200"/>
        <w:rPr>
          <w:rFonts w:ascii="华文仿宋" w:hAnsi="华文仿宋" w:eastAsia="华文仿宋"/>
          <w:sz w:val="32"/>
          <w:szCs w:val="32"/>
        </w:rPr>
      </w:pPr>
    </w:p>
    <w:p>
      <w:pPr>
        <w:tabs>
          <w:tab w:val="left" w:pos="6618"/>
        </w:tabs>
        <w:ind w:firstLine="640" w:firstLineChars="200"/>
        <w:rPr>
          <w:rFonts w:ascii="华文仿宋" w:hAnsi="华文仿宋" w:eastAsia="华文仿宋"/>
          <w:sz w:val="32"/>
          <w:szCs w:val="32"/>
        </w:rPr>
      </w:pPr>
      <w:r>
        <w:rPr>
          <w:rFonts w:hint="eastAsia" w:ascii="华文仿宋" w:hAnsi="华文仿宋" w:eastAsia="华文仿宋"/>
          <w:sz w:val="32"/>
          <w:szCs w:val="32"/>
        </w:rPr>
        <w:t>对协议就业毕业生按照就业单位性质进行统计，发现毕业生签三方就业的单位以企业为主，达签三方就业人数的97.56%，其中国有企业占68.93%。</w:t>
      </w:r>
    </w:p>
    <w:tbl>
      <w:tblPr>
        <w:tblStyle w:val="15"/>
        <w:tblW w:w="9100" w:type="dxa"/>
        <w:tblInd w:w="108" w:type="dxa"/>
        <w:tblLayout w:type="fixed"/>
        <w:tblCellMar>
          <w:top w:w="0" w:type="dxa"/>
          <w:left w:w="108" w:type="dxa"/>
          <w:bottom w:w="0" w:type="dxa"/>
          <w:right w:w="108" w:type="dxa"/>
        </w:tblCellMar>
      </w:tblPr>
      <w:tblGrid>
        <w:gridCol w:w="1755"/>
        <w:gridCol w:w="907"/>
        <w:gridCol w:w="1542"/>
        <w:gridCol w:w="906"/>
        <w:gridCol w:w="126"/>
        <w:gridCol w:w="986"/>
        <w:gridCol w:w="430"/>
        <w:gridCol w:w="541"/>
        <w:gridCol w:w="365"/>
        <w:gridCol w:w="333"/>
        <w:gridCol w:w="1209"/>
      </w:tblGrid>
      <w:tr>
        <w:tblPrEx>
          <w:tblLayout w:type="fixed"/>
          <w:tblCellMar>
            <w:top w:w="0" w:type="dxa"/>
            <w:left w:w="108" w:type="dxa"/>
            <w:bottom w:w="0" w:type="dxa"/>
            <w:right w:w="108" w:type="dxa"/>
          </w:tblCellMar>
        </w:tblPrEx>
        <w:trPr>
          <w:trHeight w:val="468" w:hRule="atLeast"/>
        </w:trPr>
        <w:tc>
          <w:tcPr>
            <w:tcW w:w="9100" w:type="dxa"/>
            <w:gridSpan w:val="11"/>
            <w:vMerge w:val="restart"/>
            <w:tcBorders>
              <w:top w:val="nil"/>
              <w:left w:val="nil"/>
              <w:bottom w:val="single" w:color="000000" w:sz="8" w:space="0"/>
              <w:right w:val="nil"/>
            </w:tcBorders>
            <w:shd w:val="clear" w:color="auto" w:fill="auto"/>
            <w:vAlign w:val="center"/>
          </w:tcPr>
          <w:p>
            <w:pPr>
              <w:widowControl/>
              <w:jc w:val="center"/>
              <w:rPr>
                <w:rFonts w:ascii="宋体" w:hAnsi="宋体" w:eastAsia="宋体" w:cs="宋体"/>
                <w:b/>
                <w:bCs/>
                <w:color w:val="000000"/>
                <w:kern w:val="0"/>
                <w:sz w:val="22"/>
              </w:rPr>
            </w:pPr>
          </w:p>
          <w:p>
            <w:pPr>
              <w:pStyle w:val="22"/>
              <w:spacing w:after="156"/>
              <w:ind w:firstLine="482"/>
              <w:rPr>
                <w:rFonts w:ascii="宋体" w:hAnsi="宋体" w:eastAsia="宋体" w:cs="宋体"/>
                <w:b/>
                <w:bCs/>
                <w:color w:val="000000"/>
                <w:kern w:val="0"/>
                <w:sz w:val="22"/>
              </w:rPr>
            </w:pPr>
            <w:r>
              <w:rPr>
                <w:rStyle w:val="7"/>
                <w:rFonts w:hint="eastAsia"/>
                <w:sz w:val="24"/>
                <w:szCs w:val="24"/>
              </w:rPr>
              <w:t>表8 签三方就业毕业生的单位性质分布</w:t>
            </w:r>
          </w:p>
        </w:tc>
      </w:tr>
      <w:tr>
        <w:tblPrEx>
          <w:tblLayout w:type="fixed"/>
          <w:tblCellMar>
            <w:top w:w="0" w:type="dxa"/>
            <w:left w:w="108" w:type="dxa"/>
            <w:bottom w:w="0" w:type="dxa"/>
            <w:right w:w="108" w:type="dxa"/>
          </w:tblCellMar>
        </w:tblPrEx>
        <w:trPr>
          <w:trHeight w:val="312" w:hRule="atLeast"/>
        </w:trPr>
        <w:tc>
          <w:tcPr>
            <w:tcW w:w="9100" w:type="dxa"/>
            <w:gridSpan w:val="11"/>
            <w:vMerge w:val="continue"/>
            <w:tcBorders>
              <w:top w:val="nil"/>
              <w:left w:val="nil"/>
              <w:bottom w:val="single" w:color="000000" w:sz="8" w:space="0"/>
              <w:right w:val="nil"/>
            </w:tcBorders>
            <w:vAlign w:val="center"/>
          </w:tcPr>
          <w:p>
            <w:pPr>
              <w:widowControl/>
              <w:jc w:val="left"/>
              <w:rPr>
                <w:rFonts w:ascii="宋体" w:hAnsi="宋体" w:eastAsia="宋体" w:cs="宋体"/>
                <w:b/>
                <w:bCs/>
                <w:color w:val="000000"/>
                <w:kern w:val="0"/>
                <w:sz w:val="22"/>
              </w:rPr>
            </w:pPr>
          </w:p>
        </w:tc>
      </w:tr>
      <w:tr>
        <w:tblPrEx>
          <w:tblLayout w:type="fixed"/>
          <w:tblCellMar>
            <w:top w:w="0" w:type="dxa"/>
            <w:left w:w="108" w:type="dxa"/>
            <w:bottom w:w="0" w:type="dxa"/>
            <w:right w:w="108" w:type="dxa"/>
          </w:tblCellMar>
        </w:tblPrEx>
        <w:trPr>
          <w:trHeight w:val="288" w:hRule="atLeast"/>
        </w:trPr>
        <w:tc>
          <w:tcPr>
            <w:tcW w:w="1755" w:type="dxa"/>
            <w:vMerge w:val="restart"/>
            <w:tcBorders>
              <w:top w:val="nil"/>
              <w:left w:val="nil"/>
              <w:bottom w:val="single" w:color="000000"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单位性质</w:t>
            </w:r>
          </w:p>
        </w:tc>
        <w:tc>
          <w:tcPr>
            <w:tcW w:w="2449" w:type="dxa"/>
            <w:gridSpan w:val="2"/>
            <w:tcBorders>
              <w:top w:val="single" w:color="auto" w:sz="8" w:space="0"/>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本科</w:t>
            </w:r>
          </w:p>
        </w:tc>
        <w:tc>
          <w:tcPr>
            <w:tcW w:w="2448" w:type="dxa"/>
            <w:gridSpan w:val="4"/>
            <w:tcBorders>
              <w:top w:val="single" w:color="auto" w:sz="8" w:space="0"/>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tc>
        <w:tc>
          <w:tcPr>
            <w:tcW w:w="2448" w:type="dxa"/>
            <w:gridSpan w:val="4"/>
            <w:tcBorders>
              <w:top w:val="single" w:color="auto" w:sz="8" w:space="0"/>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总计</w:t>
            </w:r>
          </w:p>
        </w:tc>
      </w:tr>
      <w:tr>
        <w:tblPrEx>
          <w:tblLayout w:type="fixed"/>
          <w:tblCellMar>
            <w:top w:w="0" w:type="dxa"/>
            <w:left w:w="108" w:type="dxa"/>
            <w:bottom w:w="0" w:type="dxa"/>
            <w:right w:w="108" w:type="dxa"/>
          </w:tblCellMar>
        </w:tblPrEx>
        <w:trPr>
          <w:trHeight w:val="300" w:hRule="atLeast"/>
        </w:trPr>
        <w:tc>
          <w:tcPr>
            <w:tcW w:w="1755" w:type="dxa"/>
            <w:vMerge w:val="continue"/>
            <w:tcBorders>
              <w:top w:val="nil"/>
              <w:left w:val="nil"/>
              <w:bottom w:val="single" w:color="000000" w:sz="8" w:space="0"/>
              <w:right w:val="nil"/>
            </w:tcBorders>
            <w:vAlign w:val="center"/>
          </w:tcPr>
          <w:p>
            <w:pPr>
              <w:widowControl/>
              <w:jc w:val="left"/>
              <w:rPr>
                <w:rFonts w:ascii="宋体" w:hAnsi="宋体" w:eastAsia="宋体" w:cs="宋体"/>
                <w:color w:val="000000"/>
                <w:kern w:val="0"/>
                <w:sz w:val="22"/>
              </w:rPr>
            </w:pPr>
          </w:p>
        </w:tc>
        <w:tc>
          <w:tcPr>
            <w:tcW w:w="907"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1542"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比例</w:t>
            </w:r>
          </w:p>
        </w:tc>
        <w:tc>
          <w:tcPr>
            <w:tcW w:w="90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1542" w:type="dxa"/>
            <w:gridSpan w:val="3"/>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比例</w:t>
            </w:r>
          </w:p>
        </w:tc>
        <w:tc>
          <w:tcPr>
            <w:tcW w:w="906" w:type="dxa"/>
            <w:gridSpan w:val="2"/>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1542" w:type="dxa"/>
            <w:gridSpan w:val="2"/>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比例</w:t>
            </w:r>
          </w:p>
        </w:tc>
      </w:tr>
      <w:tr>
        <w:tblPrEx>
          <w:tblLayout w:type="fixed"/>
          <w:tblCellMar>
            <w:top w:w="0" w:type="dxa"/>
            <w:left w:w="108" w:type="dxa"/>
            <w:bottom w:w="0" w:type="dxa"/>
            <w:right w:w="108" w:type="dxa"/>
          </w:tblCellMar>
        </w:tblPrEx>
        <w:trPr>
          <w:trHeight w:val="288" w:hRule="atLeast"/>
        </w:trPr>
        <w:tc>
          <w:tcPr>
            <w:tcW w:w="1755"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教育单位</w:t>
            </w:r>
          </w:p>
        </w:tc>
        <w:tc>
          <w:tcPr>
            <w:tcW w:w="90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54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9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42"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8.11%</w:t>
            </w:r>
          </w:p>
        </w:tc>
        <w:tc>
          <w:tcPr>
            <w:tcW w:w="906"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42"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r>
      <w:tr>
        <w:tblPrEx>
          <w:tblLayout w:type="fixed"/>
          <w:tblCellMar>
            <w:top w:w="0" w:type="dxa"/>
            <w:left w:w="108" w:type="dxa"/>
            <w:bottom w:w="0" w:type="dxa"/>
            <w:right w:w="108" w:type="dxa"/>
          </w:tblCellMar>
        </w:tblPrEx>
        <w:trPr>
          <w:trHeight w:val="288" w:hRule="atLeast"/>
        </w:trPr>
        <w:tc>
          <w:tcPr>
            <w:tcW w:w="1755"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事业单位</w:t>
            </w:r>
          </w:p>
        </w:tc>
        <w:tc>
          <w:tcPr>
            <w:tcW w:w="90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54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9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42"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906"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42"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0.49%</w:t>
            </w:r>
          </w:p>
        </w:tc>
      </w:tr>
      <w:tr>
        <w:tblPrEx>
          <w:tblLayout w:type="fixed"/>
          <w:tblCellMar>
            <w:top w:w="0" w:type="dxa"/>
            <w:left w:w="108" w:type="dxa"/>
            <w:bottom w:w="0" w:type="dxa"/>
            <w:right w:w="108" w:type="dxa"/>
          </w:tblCellMar>
        </w:tblPrEx>
        <w:trPr>
          <w:trHeight w:val="288" w:hRule="atLeast"/>
        </w:trPr>
        <w:tc>
          <w:tcPr>
            <w:tcW w:w="1755"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国有企业</w:t>
            </w:r>
          </w:p>
        </w:tc>
        <w:tc>
          <w:tcPr>
            <w:tcW w:w="90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154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75.15%</w:t>
            </w:r>
          </w:p>
        </w:tc>
        <w:tc>
          <w:tcPr>
            <w:tcW w:w="9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542"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40.54%</w:t>
            </w:r>
          </w:p>
        </w:tc>
        <w:tc>
          <w:tcPr>
            <w:tcW w:w="906"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1542"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68.93%</w:t>
            </w:r>
          </w:p>
        </w:tc>
      </w:tr>
      <w:tr>
        <w:tblPrEx>
          <w:tblLayout w:type="fixed"/>
          <w:tblCellMar>
            <w:top w:w="0" w:type="dxa"/>
            <w:left w:w="108" w:type="dxa"/>
            <w:bottom w:w="0" w:type="dxa"/>
            <w:right w:w="108" w:type="dxa"/>
          </w:tblCellMar>
        </w:tblPrEx>
        <w:trPr>
          <w:trHeight w:val="288" w:hRule="atLeast"/>
        </w:trPr>
        <w:tc>
          <w:tcPr>
            <w:tcW w:w="1755"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民营企业</w:t>
            </w:r>
          </w:p>
        </w:tc>
        <w:tc>
          <w:tcPr>
            <w:tcW w:w="90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54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23.67%</w:t>
            </w:r>
          </w:p>
        </w:tc>
        <w:tc>
          <w:tcPr>
            <w:tcW w:w="9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542"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45.95%</w:t>
            </w:r>
          </w:p>
        </w:tc>
        <w:tc>
          <w:tcPr>
            <w:tcW w:w="906"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542"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27.67%</w:t>
            </w:r>
          </w:p>
        </w:tc>
      </w:tr>
      <w:tr>
        <w:tblPrEx>
          <w:tblLayout w:type="fixed"/>
          <w:tblCellMar>
            <w:top w:w="0" w:type="dxa"/>
            <w:left w:w="108" w:type="dxa"/>
            <w:bottom w:w="0" w:type="dxa"/>
            <w:right w:w="108" w:type="dxa"/>
          </w:tblCellMar>
        </w:tblPrEx>
        <w:trPr>
          <w:trHeight w:val="288" w:hRule="atLeast"/>
        </w:trPr>
        <w:tc>
          <w:tcPr>
            <w:tcW w:w="1755"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外资企业</w:t>
            </w:r>
          </w:p>
        </w:tc>
        <w:tc>
          <w:tcPr>
            <w:tcW w:w="90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4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0.59%</w:t>
            </w:r>
          </w:p>
        </w:tc>
        <w:tc>
          <w:tcPr>
            <w:tcW w:w="9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42"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906"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42"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0.97%</w:t>
            </w:r>
          </w:p>
        </w:tc>
      </w:tr>
      <w:tr>
        <w:tblPrEx>
          <w:tblLayout w:type="fixed"/>
          <w:tblCellMar>
            <w:top w:w="0" w:type="dxa"/>
            <w:left w:w="108" w:type="dxa"/>
            <w:bottom w:w="0" w:type="dxa"/>
            <w:right w:w="108" w:type="dxa"/>
          </w:tblCellMar>
        </w:tblPrEx>
        <w:trPr>
          <w:trHeight w:val="288" w:hRule="atLeast"/>
        </w:trPr>
        <w:tc>
          <w:tcPr>
            <w:tcW w:w="1755"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部队</w:t>
            </w:r>
          </w:p>
        </w:tc>
        <w:tc>
          <w:tcPr>
            <w:tcW w:w="907"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4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0.59%</w:t>
            </w:r>
          </w:p>
        </w:tc>
        <w:tc>
          <w:tcPr>
            <w:tcW w:w="90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542" w:type="dxa"/>
            <w:gridSpan w:val="3"/>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906"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42"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0.49%</w:t>
            </w:r>
          </w:p>
        </w:tc>
      </w:tr>
      <w:tr>
        <w:tblPrEx>
          <w:tblLayout w:type="fixed"/>
          <w:tblCellMar>
            <w:top w:w="0" w:type="dxa"/>
            <w:left w:w="108" w:type="dxa"/>
            <w:bottom w:w="0" w:type="dxa"/>
            <w:right w:w="108" w:type="dxa"/>
          </w:tblCellMar>
        </w:tblPrEx>
        <w:trPr>
          <w:trHeight w:val="300" w:hRule="atLeast"/>
        </w:trPr>
        <w:tc>
          <w:tcPr>
            <w:tcW w:w="1755"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907"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169</w:t>
            </w:r>
          </w:p>
        </w:tc>
        <w:tc>
          <w:tcPr>
            <w:tcW w:w="1542"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06" w:type="dxa"/>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542" w:type="dxa"/>
            <w:gridSpan w:val="3"/>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06" w:type="dxa"/>
            <w:gridSpan w:val="2"/>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1542" w:type="dxa"/>
            <w:gridSpan w:val="2"/>
            <w:tcBorders>
              <w:top w:val="single" w:color="auto" w:sz="4" w:space="0"/>
              <w:left w:val="nil"/>
              <w:bottom w:val="single" w:color="auto" w:sz="8"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100.00%</w:t>
            </w:r>
          </w:p>
        </w:tc>
      </w:tr>
      <w:tr>
        <w:tblPrEx>
          <w:tblLayout w:type="fixed"/>
          <w:tblCellMar>
            <w:top w:w="15" w:type="dxa"/>
            <w:left w:w="15" w:type="dxa"/>
            <w:bottom w:w="15" w:type="dxa"/>
            <w:right w:w="15" w:type="dxa"/>
          </w:tblCellMar>
        </w:tblPrEx>
        <w:trPr>
          <w:gridAfter w:val="1"/>
          <w:wAfter w:w="1209" w:type="dxa"/>
          <w:trHeight w:val="468" w:hRule="atLeast"/>
        </w:trPr>
        <w:tc>
          <w:tcPr>
            <w:tcW w:w="7891" w:type="dxa"/>
            <w:gridSpan w:val="10"/>
            <w:vMerge w:val="restart"/>
            <w:tcBorders>
              <w:bottom w:val="single" w:color="000000" w:sz="12" w:space="0"/>
            </w:tcBorders>
            <w:shd w:val="clear" w:color="auto" w:fill="auto"/>
            <w:vAlign w:val="center"/>
          </w:tcPr>
          <w:p>
            <w:pPr>
              <w:widowControl/>
              <w:jc w:val="center"/>
              <w:textAlignment w:val="center"/>
              <w:rPr>
                <w:rFonts w:ascii="宋体" w:hAnsi="宋体" w:eastAsia="宋体" w:cs="宋体"/>
                <w:color w:val="000000"/>
                <w:kern w:val="0"/>
                <w:sz w:val="22"/>
                <w:lang w:bidi="ar"/>
              </w:rPr>
            </w:pPr>
          </w:p>
          <w:p>
            <w:pPr>
              <w:tabs>
                <w:tab w:val="left" w:pos="6618"/>
              </w:tabs>
              <w:rPr>
                <w:rFonts w:ascii="华文仿宋" w:hAnsi="华文仿宋" w:eastAsia="华文仿宋"/>
                <w:b/>
                <w:bCs/>
                <w:sz w:val="32"/>
                <w:szCs w:val="32"/>
              </w:rPr>
            </w:pPr>
            <w:r>
              <w:rPr>
                <w:rFonts w:hint="eastAsia" w:ascii="华文仿宋" w:hAnsi="华文仿宋" w:eastAsia="华文仿宋"/>
                <w:b/>
                <w:bCs/>
                <w:sz w:val="32"/>
                <w:szCs w:val="32"/>
              </w:rPr>
              <w:t>5.升学情况</w:t>
            </w:r>
          </w:p>
          <w:p>
            <w:pPr>
              <w:tabs>
                <w:tab w:val="left" w:pos="6618"/>
              </w:tabs>
              <w:ind w:firstLine="640" w:firstLineChars="200"/>
              <w:rPr>
                <w:rFonts w:ascii="华文仿宋" w:hAnsi="华文仿宋" w:eastAsia="华文仿宋"/>
                <w:sz w:val="32"/>
                <w:szCs w:val="32"/>
              </w:rPr>
            </w:pPr>
            <w:r>
              <w:rPr>
                <w:rFonts w:hint="eastAsia" w:ascii="华文仿宋" w:hAnsi="华文仿宋" w:eastAsia="华文仿宋"/>
                <w:sz w:val="32"/>
                <w:szCs w:val="32"/>
              </w:rPr>
              <w:t>学生报考的专升本院校全部为省内院校，考研院校分布相对广泛。</w:t>
            </w:r>
          </w:p>
          <w:p>
            <w:pPr>
              <w:pStyle w:val="22"/>
              <w:spacing w:after="156"/>
              <w:ind w:firstLine="482"/>
              <w:rPr>
                <w:rFonts w:ascii="宋体" w:hAnsi="宋体" w:eastAsia="宋体" w:cs="宋体"/>
                <w:color w:val="000000"/>
                <w:sz w:val="22"/>
              </w:rPr>
            </w:pPr>
            <w:r>
              <w:rPr>
                <w:rStyle w:val="7"/>
                <w:rFonts w:hint="eastAsia"/>
                <w:sz w:val="24"/>
                <w:szCs w:val="24"/>
              </w:rPr>
              <w:t>表9毕业生升学情况表</w:t>
            </w:r>
          </w:p>
        </w:tc>
      </w:tr>
      <w:tr>
        <w:tblPrEx>
          <w:tblLayout w:type="fixed"/>
          <w:tblCellMar>
            <w:top w:w="15" w:type="dxa"/>
            <w:left w:w="15" w:type="dxa"/>
            <w:bottom w:w="15" w:type="dxa"/>
            <w:right w:w="15" w:type="dxa"/>
          </w:tblCellMar>
        </w:tblPrEx>
        <w:trPr>
          <w:gridAfter w:val="1"/>
          <w:wAfter w:w="1209" w:type="dxa"/>
          <w:trHeight w:val="312" w:hRule="atLeast"/>
        </w:trPr>
        <w:tc>
          <w:tcPr>
            <w:tcW w:w="7891" w:type="dxa"/>
            <w:gridSpan w:val="10"/>
            <w:vMerge w:val="continue"/>
            <w:tcBorders>
              <w:bottom w:val="single" w:color="000000" w:sz="12" w:space="0"/>
            </w:tcBorders>
            <w:shd w:val="clear" w:color="auto" w:fill="auto"/>
            <w:vAlign w:val="center"/>
          </w:tcPr>
          <w:p>
            <w:pPr>
              <w:jc w:val="center"/>
              <w:rPr>
                <w:rFonts w:ascii="宋体" w:hAnsi="宋体" w:eastAsia="宋体" w:cs="宋体"/>
                <w:color w:val="000000"/>
                <w:sz w:val="22"/>
              </w:rPr>
            </w:pP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院校名称</w:t>
            </w:r>
          </w:p>
        </w:tc>
        <w:tc>
          <w:tcPr>
            <w:tcW w:w="2574" w:type="dxa"/>
            <w:gridSpan w:val="3"/>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地区</w:t>
            </w:r>
          </w:p>
        </w:tc>
        <w:tc>
          <w:tcPr>
            <w:tcW w:w="986" w:type="dxa"/>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专升本</w:t>
            </w:r>
          </w:p>
        </w:tc>
        <w:tc>
          <w:tcPr>
            <w:tcW w:w="971"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考研</w:t>
            </w:r>
          </w:p>
        </w:tc>
        <w:tc>
          <w:tcPr>
            <w:tcW w:w="698" w:type="dxa"/>
            <w:gridSpan w:val="2"/>
            <w:tcBorders>
              <w:bottom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总计</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北京航空航天大学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北京</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北京理工大学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北京</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中国地质大学(武汉）</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湖北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中国日用化学工业研究院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中国矿业大学（北京）</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北京</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中国矿业大学（徐州）</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江苏</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中国海洋大学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山东</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中国计量大学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浙江</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中国民航大学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天津</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吉林大学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吉林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东北大学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辽宁</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太原理工大学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长安大学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陕西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天津科技大学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天津</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西安建筑科技大学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陕西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西安科技大学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陕西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中北大学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燕山大学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重庆大学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重庆</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东北林业大学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黑龙江</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河北工程大学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成都理工大学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四川</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河南理工大学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河南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湖南工业大学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湖南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昆明理工大学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云南</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内蒙古工业大学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内蒙古</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内蒙古科技大学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内蒙古</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山东科技大学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山东</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太原科技大学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山西财经大学华商学院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山西大同大学</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山西大学商务学院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山西工程技术学院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山西工商学院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山西能源学院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山西农业大学信息学院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山西应用科技学院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太原工业学院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太原科技大学华科学院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太原理工大学现代科技学院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太原师范学院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忻州师范学院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晋中学院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运城学院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吕梁学院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中北大学信息商务学院</w:t>
            </w:r>
          </w:p>
        </w:tc>
        <w:tc>
          <w:tcPr>
            <w:tcW w:w="2574" w:type="dxa"/>
            <w:gridSpan w:val="3"/>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山西</w:t>
            </w:r>
          </w:p>
        </w:tc>
        <w:tc>
          <w:tcPr>
            <w:tcW w:w="986" w:type="dxa"/>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71"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698" w:type="dxa"/>
            <w:gridSpan w:val="2"/>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r>
      <w:tr>
        <w:tblPrEx>
          <w:tblLayout w:type="fixed"/>
          <w:tblCellMar>
            <w:top w:w="15" w:type="dxa"/>
            <w:left w:w="15" w:type="dxa"/>
            <w:bottom w:w="15" w:type="dxa"/>
            <w:right w:w="15" w:type="dxa"/>
          </w:tblCellMar>
        </w:tblPrEx>
        <w:trPr>
          <w:gridAfter w:val="1"/>
          <w:wAfter w:w="1209" w:type="dxa"/>
          <w:trHeight w:val="286" w:hRule="atLeast"/>
        </w:trPr>
        <w:tc>
          <w:tcPr>
            <w:tcW w:w="5236" w:type="dxa"/>
            <w:gridSpan w:val="5"/>
            <w:tcBorders>
              <w:top w:val="single" w:color="000000" w:sz="4"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86" w:type="dxa"/>
            <w:tcBorders>
              <w:top w:val="single" w:color="000000" w:sz="4"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129</w:t>
            </w:r>
          </w:p>
        </w:tc>
        <w:tc>
          <w:tcPr>
            <w:tcW w:w="971" w:type="dxa"/>
            <w:gridSpan w:val="2"/>
            <w:tcBorders>
              <w:top w:val="single" w:color="000000" w:sz="4"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59</w:t>
            </w:r>
          </w:p>
        </w:tc>
        <w:tc>
          <w:tcPr>
            <w:tcW w:w="698" w:type="dxa"/>
            <w:gridSpan w:val="2"/>
            <w:tcBorders>
              <w:top w:val="single" w:color="000000" w:sz="4"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188</w:t>
            </w:r>
          </w:p>
        </w:tc>
      </w:tr>
      <w:tr>
        <w:tblPrEx>
          <w:tblLayout w:type="fixed"/>
          <w:tblCellMar>
            <w:top w:w="15" w:type="dxa"/>
            <w:left w:w="15" w:type="dxa"/>
            <w:bottom w:w="15" w:type="dxa"/>
            <w:right w:w="15" w:type="dxa"/>
          </w:tblCellMar>
        </w:tblPrEx>
        <w:trPr>
          <w:gridAfter w:val="1"/>
          <w:wAfter w:w="1209" w:type="dxa"/>
          <w:trHeight w:val="286" w:hRule="atLeast"/>
        </w:trPr>
        <w:tc>
          <w:tcPr>
            <w:tcW w:w="2662" w:type="dxa"/>
            <w:gridSpan w:val="2"/>
            <w:shd w:val="clear" w:color="auto" w:fill="auto"/>
            <w:vAlign w:val="bottom"/>
          </w:tcPr>
          <w:p>
            <w:pPr>
              <w:rPr>
                <w:rFonts w:ascii="宋体" w:hAnsi="宋体" w:eastAsia="宋体" w:cs="宋体"/>
                <w:color w:val="000000"/>
                <w:sz w:val="22"/>
              </w:rPr>
            </w:pPr>
          </w:p>
        </w:tc>
        <w:tc>
          <w:tcPr>
            <w:tcW w:w="2574" w:type="dxa"/>
            <w:gridSpan w:val="3"/>
            <w:shd w:val="clear" w:color="auto" w:fill="auto"/>
            <w:vAlign w:val="bottom"/>
          </w:tcPr>
          <w:p>
            <w:pPr>
              <w:rPr>
                <w:rFonts w:ascii="宋体" w:hAnsi="宋体" w:eastAsia="宋体" w:cs="宋体"/>
                <w:color w:val="000000"/>
                <w:sz w:val="22"/>
              </w:rPr>
            </w:pPr>
          </w:p>
        </w:tc>
        <w:tc>
          <w:tcPr>
            <w:tcW w:w="2655" w:type="dxa"/>
            <w:gridSpan w:val="5"/>
            <w:tcBorders>
              <w:top w:val="single" w:color="000000" w:sz="12"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lang w:bidi="ar"/>
              </w:rPr>
              <w:t>以上排名不分先后</w:t>
            </w:r>
          </w:p>
        </w:tc>
      </w:tr>
    </w:tbl>
    <w:p>
      <w:pPr>
        <w:tabs>
          <w:tab w:val="left" w:pos="6618"/>
        </w:tabs>
        <w:ind w:firstLine="960" w:firstLineChars="300"/>
        <w:rPr>
          <w:rFonts w:ascii="华文仿宋" w:hAnsi="华文仿宋" w:eastAsia="华文仿宋"/>
          <w:sz w:val="32"/>
          <w:szCs w:val="32"/>
        </w:rPr>
      </w:pPr>
    </w:p>
    <w:p>
      <w:pPr>
        <w:tabs>
          <w:tab w:val="left" w:pos="6618"/>
        </w:tabs>
        <w:rPr>
          <w:rFonts w:ascii="华文仿宋" w:hAnsi="华文仿宋" w:eastAsia="华文仿宋"/>
          <w:b/>
          <w:bCs/>
          <w:sz w:val="32"/>
          <w:szCs w:val="32"/>
        </w:rPr>
      </w:pPr>
      <w:r>
        <w:rPr>
          <w:rFonts w:hint="eastAsia" w:ascii="华文仿宋" w:hAnsi="华文仿宋" w:eastAsia="华文仿宋"/>
          <w:b/>
          <w:bCs/>
          <w:sz w:val="32"/>
          <w:szCs w:val="32"/>
        </w:rPr>
        <w:t>6.未就业情况分析</w:t>
      </w:r>
    </w:p>
    <w:p>
      <w:pPr>
        <w:tabs>
          <w:tab w:val="left" w:pos="6618"/>
        </w:tabs>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我院2018届未就业的毕业生共87名，占比3.43%。通过对未就业毕业生的调查，发现未就业的主要原因有准备升学考试、没有找到满意工作需继续寻找两类。</w:t>
      </w:r>
    </w:p>
    <w:p>
      <w:pPr>
        <w:pStyle w:val="19"/>
        <w:ind w:firstLine="0" w:firstLineChars="0"/>
        <w:rPr>
          <w:rFonts w:ascii="黑体" w:hAnsi="黑体" w:eastAsia="黑体"/>
          <w:sz w:val="36"/>
          <w:szCs w:val="36"/>
        </w:rPr>
      </w:pPr>
      <w:r>
        <w:rPr>
          <w:rFonts w:hint="eastAsia" w:ascii="黑体" w:hAnsi="黑体" w:eastAsia="黑体"/>
          <w:sz w:val="36"/>
          <w:szCs w:val="36"/>
        </w:rPr>
        <w:t>三、2018届毕业生就业工作主要举措</w:t>
      </w:r>
    </w:p>
    <w:p>
      <w:pPr>
        <w:rPr>
          <w:rFonts w:ascii="华文仿宋" w:hAnsi="华文仿宋" w:eastAsia="华文仿宋"/>
          <w:b/>
          <w:bCs/>
          <w:sz w:val="32"/>
          <w:szCs w:val="32"/>
        </w:rPr>
      </w:pPr>
      <w:r>
        <w:rPr>
          <w:rFonts w:hint="eastAsia" w:ascii="华文仿宋" w:hAnsi="华文仿宋" w:eastAsia="华文仿宋"/>
          <w:b/>
          <w:bCs/>
          <w:color w:val="000000" w:themeColor="text1"/>
          <w:sz w:val="32"/>
          <w:szCs w:val="32"/>
          <w14:textFill>
            <w14:solidFill>
              <w14:schemeClr w14:val="tx1"/>
            </w14:solidFill>
          </w14:textFill>
        </w:rPr>
        <w:t>（一）学院领导重视，强化组织保障</w:t>
      </w:r>
    </w:p>
    <w:p>
      <w:pPr>
        <w:ind w:firstLine="640" w:firstLineChars="200"/>
        <w:rPr>
          <w:rFonts w:ascii="华文仿宋" w:hAnsi="华文仿宋" w:eastAsia="华文仿宋"/>
          <w:sz w:val="32"/>
          <w:szCs w:val="32"/>
        </w:rPr>
      </w:pPr>
      <w:r>
        <w:rPr>
          <w:rFonts w:hint="eastAsia" w:ascii="华文仿宋" w:hAnsi="华文仿宋" w:eastAsia="华文仿宋"/>
          <w:color w:val="000000" w:themeColor="text1"/>
          <w:sz w:val="32"/>
          <w:szCs w:val="32"/>
          <w14:textFill>
            <w14:solidFill>
              <w14:schemeClr w14:val="tx1"/>
            </w14:solidFill>
          </w14:textFill>
        </w:rPr>
        <w:t>学院坚决贯彻落实教育部关于“各地各高校要认真落实就业‘一把手’工程”“高校要完善就业部门牵头，学工、招生、教学、创业、武装等部门参与的工作机制，形成齐抓共管的工作格局”等强化就业工作组织保障的要求，成立了以书记、院长为主任，副书记、副院长为副主任，分管院长为办公室主任，有关部门和各系负责人为委员的就业工作委员会。进一步完善了我院毕业生就业工作管理和服务体系，强有力的促进了毕业生就业工作顺利开展，切实提高了毕业生就业质量</w:t>
      </w:r>
      <w:r>
        <w:rPr>
          <w:rFonts w:hint="eastAsia" w:ascii="华文仿宋" w:hAnsi="华文仿宋" w:eastAsia="华文仿宋"/>
          <w:sz w:val="32"/>
          <w:szCs w:val="32"/>
        </w:rPr>
        <w:t>。</w:t>
      </w:r>
    </w:p>
    <w:p>
      <w:pPr>
        <w:rPr>
          <w:rFonts w:ascii="华文仿宋" w:hAnsi="华文仿宋" w:eastAsia="华文仿宋"/>
          <w:b/>
          <w:bCs/>
          <w:color w:val="000000" w:themeColor="text1"/>
          <w:sz w:val="32"/>
          <w:szCs w:val="32"/>
          <w14:textFill>
            <w14:solidFill>
              <w14:schemeClr w14:val="tx1"/>
            </w14:solidFill>
          </w14:textFill>
        </w:rPr>
      </w:pPr>
      <w:r>
        <w:rPr>
          <w:rFonts w:hint="eastAsia" w:ascii="华文仿宋" w:hAnsi="华文仿宋" w:eastAsia="华文仿宋"/>
          <w:b/>
          <w:bCs/>
          <w:color w:val="000000" w:themeColor="text1"/>
          <w:sz w:val="32"/>
          <w:szCs w:val="32"/>
          <w14:textFill>
            <w14:solidFill>
              <w14:schemeClr w14:val="tx1"/>
            </w14:solidFill>
          </w14:textFill>
        </w:rPr>
        <w:t>（二）引导毕业生到重点领域就业</w:t>
      </w:r>
    </w:p>
    <w:p>
      <w:pPr>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学院就业工作紧密对接山西省建设资源型经济转型发展示范区、打造全国能源革命排头兵的发展战略，以产教融合、校企合作为途径，以“订单培养”的模式向我省重点领域、重大企业输送毕业生。在今年协议就业的毕业生当中，60%的毕业生到了我省正在进行能源产业技术变革、创新驱动升级的煤炭、电力、新能源方面的国有企业。</w:t>
      </w:r>
    </w:p>
    <w:p>
      <w:pPr>
        <w:rPr>
          <w:rFonts w:ascii="华文仿宋" w:hAnsi="华文仿宋" w:eastAsia="华文仿宋"/>
          <w:b/>
          <w:bCs/>
          <w:sz w:val="32"/>
          <w:szCs w:val="32"/>
        </w:rPr>
      </w:pPr>
      <w:r>
        <w:rPr>
          <w:rFonts w:hint="eastAsia" w:ascii="华文仿宋" w:hAnsi="华文仿宋" w:eastAsia="华文仿宋"/>
          <w:b/>
          <w:bCs/>
          <w:sz w:val="32"/>
          <w:szCs w:val="32"/>
        </w:rPr>
        <w:t>（三）积极拓宽毕业生就业渠道</w:t>
      </w:r>
    </w:p>
    <w:p>
      <w:pPr>
        <w:ind w:firstLine="640" w:firstLineChars="200"/>
        <w:rPr>
          <w:rFonts w:ascii="华文仿宋" w:hAnsi="华文仿宋" w:eastAsia="华文仿宋"/>
          <w:sz w:val="32"/>
          <w:szCs w:val="32"/>
        </w:rPr>
      </w:pPr>
      <w:r>
        <w:rPr>
          <w:rFonts w:hint="eastAsia" w:ascii="华文仿宋" w:hAnsi="华文仿宋" w:eastAsia="华文仿宋"/>
          <w:color w:val="000000" w:themeColor="text1"/>
          <w:sz w:val="32"/>
          <w:szCs w:val="32"/>
          <w14:textFill>
            <w14:solidFill>
              <w14:schemeClr w14:val="tx1"/>
            </w14:solidFill>
          </w14:textFill>
        </w:rPr>
        <w:t>截至目前我院已与省内外700余家用人单位建立长期的用人关系。同时</w:t>
      </w:r>
      <w:r>
        <w:rPr>
          <w:rFonts w:hint="eastAsia" w:ascii="华文仿宋" w:hAnsi="华文仿宋" w:eastAsia="华文仿宋"/>
          <w:sz w:val="32"/>
          <w:szCs w:val="32"/>
        </w:rPr>
        <w:t>组织就业工作人员积极走访市场，广泛建立用人关系，不断拓宽就业渠道。针对2018届毕业生召开了23场专场招聘会，6月6日举办的“山西能源学院2018届毕业生就业双向选择洽谈会”吸引了省内外260余家用人单位，提供用人岗位6000余个。此次洽谈无论是招聘单位数量，还是就业范围和就业岗位，与以往相比都有了大幅度的提高。组织2018届毕业生参加了省人社厅在煤炭交易中心组织召开的人才智力交流大会。</w:t>
      </w:r>
      <w:r>
        <w:rPr>
          <w:rFonts w:hint="eastAsia" w:ascii="华文仿宋" w:hAnsi="华文仿宋" w:eastAsia="华文仿宋"/>
          <w:color w:val="000000" w:themeColor="text1"/>
          <w:sz w:val="32"/>
          <w:szCs w:val="32"/>
          <w14:textFill>
            <w14:solidFill>
              <w14:schemeClr w14:val="tx1"/>
            </w14:solidFill>
          </w14:textFill>
        </w:rPr>
        <w:t>同时学院积极组织“三支一扶”“西部计划”等中央基层就业项目。</w:t>
      </w:r>
    </w:p>
    <w:p>
      <w:pPr>
        <w:rPr>
          <w:rFonts w:ascii="华文仿宋" w:hAnsi="华文仿宋" w:eastAsia="华文仿宋"/>
          <w:b/>
          <w:bCs/>
          <w:sz w:val="32"/>
          <w:szCs w:val="32"/>
        </w:rPr>
      </w:pPr>
      <w:r>
        <w:rPr>
          <w:rFonts w:hint="eastAsia" w:ascii="华文仿宋" w:hAnsi="华文仿宋" w:eastAsia="华文仿宋"/>
          <w:b/>
          <w:bCs/>
          <w:sz w:val="32"/>
          <w:szCs w:val="32"/>
        </w:rPr>
        <w:t>（四）全面深化创新创业教育改革</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我院已开设《创造学》和《创业创业基础》等课程，与晋中创业园共建创业培训基地，将“沙盘推演、实战经营”（SDMM）创新类创业培训作为创新创业教育实践教学环节，纳入学分管理。以各种创业大赛特别是大学生创新创业训练计划、中国“互联网+”大学生创新创业大赛为抓手，着力培养学生的创新意识、实践能力和奋斗精神。通过大赛，在学院形成了创新创业的浓厚氛围，创新创业观念在学生中间更加深入人心，这为学生创新创业提供肥沃土壤，在今年的毕业生就业当中，选择自主创业的人数达10余人，创业数量超过往年。</w:t>
      </w:r>
    </w:p>
    <w:p>
      <w:pPr>
        <w:rPr>
          <w:rFonts w:ascii="华文仿宋" w:hAnsi="华文仿宋" w:eastAsia="华文仿宋"/>
          <w:b/>
          <w:bCs/>
          <w:sz w:val="32"/>
          <w:szCs w:val="32"/>
        </w:rPr>
      </w:pPr>
      <w:r>
        <w:rPr>
          <w:rFonts w:hint="eastAsia" w:ascii="华文仿宋" w:hAnsi="华文仿宋" w:eastAsia="华文仿宋"/>
          <w:b/>
          <w:bCs/>
          <w:sz w:val="32"/>
          <w:szCs w:val="32"/>
        </w:rPr>
        <w:t>（五）加强就业创业师资队伍建设</w:t>
      </w:r>
    </w:p>
    <w:p>
      <w:pPr>
        <w:ind w:firstLine="630"/>
        <w:rPr>
          <w:rFonts w:ascii="华文仿宋" w:hAnsi="华文仿宋" w:eastAsia="华文仿宋"/>
          <w:sz w:val="32"/>
          <w:szCs w:val="32"/>
        </w:rPr>
      </w:pPr>
      <w:r>
        <w:rPr>
          <w:rFonts w:hint="eastAsia" w:ascii="华文仿宋" w:hAnsi="华文仿宋" w:eastAsia="华文仿宋"/>
          <w:sz w:val="32"/>
          <w:szCs w:val="32"/>
        </w:rPr>
        <w:t>开始建设以专职辅导员为主、以部分从企业引进或聘用的教师为辅的专业化的职业生涯规划、就业指导教师队伍；建设以具有成功创业经验的教师为主、以相关专业教师为辅的创新创业教师队伍。安排新进辅导员和已承担相关教学任务的教师参加各种不同类型的职业生涯规划、就业指导和创新创业高级培训，提升了就业创业指导师资队伍的专业化、职业化、专家化水平，提高了各系（部）就业创业指导老师的指导能力。</w:t>
      </w:r>
    </w:p>
    <w:p>
      <w:pPr>
        <w:rPr>
          <w:rFonts w:ascii="华文仿宋" w:hAnsi="华文仿宋" w:eastAsia="华文仿宋"/>
          <w:b/>
          <w:bCs/>
          <w:sz w:val="32"/>
          <w:szCs w:val="32"/>
        </w:rPr>
      </w:pPr>
      <w:r>
        <w:rPr>
          <w:rFonts w:hint="eastAsia" w:ascii="华文仿宋" w:hAnsi="华文仿宋" w:eastAsia="华文仿宋"/>
          <w:b/>
          <w:bCs/>
          <w:sz w:val="32"/>
          <w:szCs w:val="32"/>
        </w:rPr>
        <w:t>（六）提高毕业生就业能力</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针对就业工作中出现的新问题通过开设就业指导课，举办专题讲座，优秀毕业生返校报告会等形式进行全方位的就业指导，使学生了解就业形势和政策，熟悉派遣程序，并确立符合实际的就业观。通过模拟演练和案例分析使学生们掌握了一定的应聘技能和技巧。重点是降低学生期望值，合理定位。就业指导的主要内容包括：进行正确自我评价，确定自己在社会中的位置；分析当年市场需求，准确定位就业方向，适度调整期望值；教育学生树立先就业、后择业、再创业的观念，动员学生到基层工作；积极引导毕业生认清当前形势，树立正确的就业、择业观念，逐步更新学生在就业过程中的观念，避免期望值过高的现象；有意识的增强学生的就业心理素质，引导学生用积极的心态应对就业，在遇到问题时帮助学生及时调整心态，建立信心。对学生如何抓住机会、参加面试以及如何签约一一作了具体的指导。</w:t>
      </w:r>
    </w:p>
    <w:p>
      <w:pPr>
        <w:rPr>
          <w:rFonts w:ascii="华文仿宋" w:hAnsi="华文仿宋" w:eastAsia="华文仿宋"/>
          <w:b/>
          <w:bCs/>
          <w:sz w:val="32"/>
          <w:szCs w:val="32"/>
        </w:rPr>
      </w:pPr>
      <w:r>
        <w:rPr>
          <w:rFonts w:hint="eastAsia" w:ascii="华文仿宋" w:hAnsi="华文仿宋" w:eastAsia="华文仿宋"/>
          <w:b/>
          <w:bCs/>
          <w:color w:val="000000" w:themeColor="text1"/>
          <w:sz w:val="32"/>
          <w:szCs w:val="32"/>
          <w14:textFill>
            <w14:solidFill>
              <w14:schemeClr w14:val="tx1"/>
            </w14:solidFill>
          </w14:textFill>
        </w:rPr>
        <w:t>（七）鼓励毕业生参加公务员</w:t>
      </w:r>
      <w:r>
        <w:rPr>
          <w:rFonts w:hint="eastAsia" w:ascii="华文仿宋" w:hAnsi="华文仿宋" w:eastAsia="华文仿宋"/>
          <w:b/>
          <w:bCs/>
          <w:sz w:val="32"/>
          <w:szCs w:val="32"/>
        </w:rPr>
        <w:t>考试、事业单位招考、金融企业公开招聘考试和升学等各种考试</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考试和升学不仅仅可以让学生继续深造，有新的发展空间，也是我们提高就业率、提高学院知名度的一种途径。因此在本年度的工作中除了继续加大宣传力度，还为学生提供有利的条件，鼓励学生参加考研和专升本升学。今年的本科毕业生考研升学59人，专科毕业生专升本升学129人。以升学推进就业的途径得到进一步的拓宽。</w:t>
      </w:r>
    </w:p>
    <w:p>
      <w:pPr>
        <w:rPr>
          <w:rFonts w:ascii="华文仿宋" w:hAnsi="华文仿宋" w:eastAsia="华文仿宋"/>
          <w:b/>
          <w:bCs/>
          <w:sz w:val="32"/>
          <w:szCs w:val="32"/>
        </w:rPr>
      </w:pPr>
      <w:r>
        <w:rPr>
          <w:rFonts w:hint="eastAsia" w:ascii="华文仿宋" w:hAnsi="华文仿宋" w:eastAsia="华文仿宋"/>
          <w:b/>
          <w:bCs/>
          <w:sz w:val="32"/>
          <w:szCs w:val="32"/>
        </w:rPr>
        <w:t>（八）加强项目就业中征兵工作</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为了进一步落实国家鼓励普通高校应届毕业生应征入伍服兵役的有关政策，我们利用学院广播站广播、张贴宣传公告、电话宣传、召开各系部书记会议等途径，进行了宣传和安排部署，经过层层动员，我院2018届毕业生共有16人应征入伍服兵役。 </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为深入贯彻落实党的十九大精神和习近平新时代中国特色社会主义思想，山西能源学院将更加紧密的结合山西省战略发展的新要求，继续拓宽基层和重点领域就业渠道，提升“互联网+就业”水平，以更实的举措推进“双创”工作，充分发挥自身优势，不断提升就业质量，切实帮助广大毕业生顺利就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W7l30AAAAAIBAAAPAAAAAAAA&#10;AAEAIAAAACIAAABkcnMvZG93bnJldi54bWxQSwECFAAUAAAACACHTuJA+OLreuEBAAC1AwAADgAA&#10;AAAAAAABACAAAAAf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46F1"/>
    <w:multiLevelType w:val="multilevel"/>
    <w:tmpl w:val="26D446F1"/>
    <w:lvl w:ilvl="0" w:tentative="0">
      <w:start w:val="1"/>
      <w:numFmt w:val="chineseCountingThousand"/>
      <w:lvlText w:val="%1、"/>
      <w:lvlJc w:val="left"/>
      <w:pPr>
        <w:ind w:left="720" w:hanging="720"/>
      </w:pPr>
      <w:rPr>
        <w:rFonts w:hint="default"/>
        <w:lang w:val="en-US"/>
      </w:rPr>
    </w:lvl>
    <w:lvl w:ilvl="1" w:tentative="0">
      <w:start w:val="1"/>
      <w:numFmt w:val="lowerLetter"/>
      <w:lvlText w:val="%2)"/>
      <w:lvlJc w:val="left"/>
      <w:pPr>
        <w:ind w:left="3360" w:hanging="420"/>
      </w:pPr>
    </w:lvl>
    <w:lvl w:ilvl="2" w:tentative="0">
      <w:start w:val="1"/>
      <w:numFmt w:val="lowerRoman"/>
      <w:lvlText w:val="%3."/>
      <w:lvlJc w:val="right"/>
      <w:pPr>
        <w:ind w:left="3780" w:hanging="420"/>
      </w:pPr>
    </w:lvl>
    <w:lvl w:ilvl="3" w:tentative="0">
      <w:start w:val="1"/>
      <w:numFmt w:val="decimal"/>
      <w:lvlText w:val="%4."/>
      <w:lvlJc w:val="left"/>
      <w:pPr>
        <w:ind w:left="4200" w:hanging="420"/>
      </w:pPr>
    </w:lvl>
    <w:lvl w:ilvl="4" w:tentative="0">
      <w:start w:val="1"/>
      <w:numFmt w:val="lowerLetter"/>
      <w:lvlText w:val="%5)"/>
      <w:lvlJc w:val="left"/>
      <w:pPr>
        <w:ind w:left="4620" w:hanging="420"/>
      </w:pPr>
    </w:lvl>
    <w:lvl w:ilvl="5" w:tentative="0">
      <w:start w:val="1"/>
      <w:numFmt w:val="lowerRoman"/>
      <w:lvlText w:val="%6."/>
      <w:lvlJc w:val="right"/>
      <w:pPr>
        <w:ind w:left="5040" w:hanging="420"/>
      </w:pPr>
    </w:lvl>
    <w:lvl w:ilvl="6" w:tentative="0">
      <w:start w:val="1"/>
      <w:numFmt w:val="decimal"/>
      <w:lvlText w:val="%7."/>
      <w:lvlJc w:val="left"/>
      <w:pPr>
        <w:ind w:left="5460" w:hanging="420"/>
      </w:pPr>
    </w:lvl>
    <w:lvl w:ilvl="7" w:tentative="0">
      <w:start w:val="1"/>
      <w:numFmt w:val="lowerLetter"/>
      <w:lvlText w:val="%8)"/>
      <w:lvlJc w:val="left"/>
      <w:pPr>
        <w:ind w:left="5880" w:hanging="420"/>
      </w:pPr>
    </w:lvl>
    <w:lvl w:ilvl="8" w:tentative="0">
      <w:start w:val="1"/>
      <w:numFmt w:val="lowerRoman"/>
      <w:lvlText w:val="%9."/>
      <w:lvlJc w:val="right"/>
      <w:pPr>
        <w:ind w:left="6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B6"/>
    <w:rsid w:val="00017430"/>
    <w:rsid w:val="00020463"/>
    <w:rsid w:val="000256FE"/>
    <w:rsid w:val="00044C8E"/>
    <w:rsid w:val="00045BFC"/>
    <w:rsid w:val="0006679B"/>
    <w:rsid w:val="000813F7"/>
    <w:rsid w:val="00090F4F"/>
    <w:rsid w:val="000A0149"/>
    <w:rsid w:val="000A1F55"/>
    <w:rsid w:val="000B5739"/>
    <w:rsid w:val="000F2E72"/>
    <w:rsid w:val="0010578C"/>
    <w:rsid w:val="00106B8E"/>
    <w:rsid w:val="00114816"/>
    <w:rsid w:val="001269F0"/>
    <w:rsid w:val="00155F90"/>
    <w:rsid w:val="00164C21"/>
    <w:rsid w:val="00172FC3"/>
    <w:rsid w:val="00173897"/>
    <w:rsid w:val="001964AF"/>
    <w:rsid w:val="0019661B"/>
    <w:rsid w:val="001977C3"/>
    <w:rsid w:val="001B032C"/>
    <w:rsid w:val="001B4F0D"/>
    <w:rsid w:val="001C59B2"/>
    <w:rsid w:val="001E6C65"/>
    <w:rsid w:val="00200AA8"/>
    <w:rsid w:val="00214BA2"/>
    <w:rsid w:val="00246F5E"/>
    <w:rsid w:val="00255DBA"/>
    <w:rsid w:val="0025788E"/>
    <w:rsid w:val="0027011F"/>
    <w:rsid w:val="00272EC0"/>
    <w:rsid w:val="00274691"/>
    <w:rsid w:val="0027751E"/>
    <w:rsid w:val="0028002C"/>
    <w:rsid w:val="00280C6B"/>
    <w:rsid w:val="00294642"/>
    <w:rsid w:val="002A7EFE"/>
    <w:rsid w:val="002C082A"/>
    <w:rsid w:val="002C23A6"/>
    <w:rsid w:val="002D0C59"/>
    <w:rsid w:val="002D4302"/>
    <w:rsid w:val="002E4092"/>
    <w:rsid w:val="003059E4"/>
    <w:rsid w:val="00305DEE"/>
    <w:rsid w:val="00310DF2"/>
    <w:rsid w:val="00333949"/>
    <w:rsid w:val="00354728"/>
    <w:rsid w:val="00356865"/>
    <w:rsid w:val="00362FB6"/>
    <w:rsid w:val="00370C6E"/>
    <w:rsid w:val="0039123B"/>
    <w:rsid w:val="003B182B"/>
    <w:rsid w:val="003B32F9"/>
    <w:rsid w:val="003C14CC"/>
    <w:rsid w:val="003C6D3A"/>
    <w:rsid w:val="003D04F8"/>
    <w:rsid w:val="003D24E5"/>
    <w:rsid w:val="003F25BF"/>
    <w:rsid w:val="003F70A7"/>
    <w:rsid w:val="00425789"/>
    <w:rsid w:val="004411D1"/>
    <w:rsid w:val="00472B88"/>
    <w:rsid w:val="0047643F"/>
    <w:rsid w:val="00477DDB"/>
    <w:rsid w:val="00484DC4"/>
    <w:rsid w:val="0048653A"/>
    <w:rsid w:val="004878CA"/>
    <w:rsid w:val="004A6F38"/>
    <w:rsid w:val="004C24B5"/>
    <w:rsid w:val="004D5A37"/>
    <w:rsid w:val="004F5139"/>
    <w:rsid w:val="005043C1"/>
    <w:rsid w:val="0052118C"/>
    <w:rsid w:val="00523B63"/>
    <w:rsid w:val="005324FA"/>
    <w:rsid w:val="00532F14"/>
    <w:rsid w:val="0053595A"/>
    <w:rsid w:val="00540535"/>
    <w:rsid w:val="00540D94"/>
    <w:rsid w:val="005670EF"/>
    <w:rsid w:val="0057299A"/>
    <w:rsid w:val="005804BA"/>
    <w:rsid w:val="0058645C"/>
    <w:rsid w:val="005953AA"/>
    <w:rsid w:val="005D2105"/>
    <w:rsid w:val="005E4161"/>
    <w:rsid w:val="005F1876"/>
    <w:rsid w:val="005F3262"/>
    <w:rsid w:val="00603517"/>
    <w:rsid w:val="006049B7"/>
    <w:rsid w:val="0060770B"/>
    <w:rsid w:val="00613A79"/>
    <w:rsid w:val="00647605"/>
    <w:rsid w:val="006504EC"/>
    <w:rsid w:val="00653D93"/>
    <w:rsid w:val="0067507B"/>
    <w:rsid w:val="00676A02"/>
    <w:rsid w:val="00686409"/>
    <w:rsid w:val="00691844"/>
    <w:rsid w:val="00691AAA"/>
    <w:rsid w:val="006C28E2"/>
    <w:rsid w:val="006D3EB8"/>
    <w:rsid w:val="006D3EEC"/>
    <w:rsid w:val="006D6476"/>
    <w:rsid w:val="006E13EF"/>
    <w:rsid w:val="006E339D"/>
    <w:rsid w:val="006E3597"/>
    <w:rsid w:val="006E4879"/>
    <w:rsid w:val="007075B0"/>
    <w:rsid w:val="007265C1"/>
    <w:rsid w:val="00732DAD"/>
    <w:rsid w:val="007437C6"/>
    <w:rsid w:val="00744C65"/>
    <w:rsid w:val="00747909"/>
    <w:rsid w:val="00770C55"/>
    <w:rsid w:val="007836D8"/>
    <w:rsid w:val="007A766F"/>
    <w:rsid w:val="007B0EF6"/>
    <w:rsid w:val="007B28DE"/>
    <w:rsid w:val="007B4786"/>
    <w:rsid w:val="007C35B4"/>
    <w:rsid w:val="007C3BCA"/>
    <w:rsid w:val="007C59C2"/>
    <w:rsid w:val="007D2803"/>
    <w:rsid w:val="007D3C1D"/>
    <w:rsid w:val="007E18FA"/>
    <w:rsid w:val="00816FE8"/>
    <w:rsid w:val="008372B0"/>
    <w:rsid w:val="00850AEB"/>
    <w:rsid w:val="00852E6C"/>
    <w:rsid w:val="00857A61"/>
    <w:rsid w:val="008667B8"/>
    <w:rsid w:val="008727E6"/>
    <w:rsid w:val="008818AE"/>
    <w:rsid w:val="00884C12"/>
    <w:rsid w:val="008915F0"/>
    <w:rsid w:val="008A059C"/>
    <w:rsid w:val="008A6519"/>
    <w:rsid w:val="008B69A8"/>
    <w:rsid w:val="008E2755"/>
    <w:rsid w:val="008E71A6"/>
    <w:rsid w:val="00913B39"/>
    <w:rsid w:val="00913DDA"/>
    <w:rsid w:val="00915BDA"/>
    <w:rsid w:val="0091679D"/>
    <w:rsid w:val="00917CE8"/>
    <w:rsid w:val="009367BB"/>
    <w:rsid w:val="00940475"/>
    <w:rsid w:val="009408F3"/>
    <w:rsid w:val="00951B08"/>
    <w:rsid w:val="00967675"/>
    <w:rsid w:val="009B3271"/>
    <w:rsid w:val="009C3E69"/>
    <w:rsid w:val="009E4768"/>
    <w:rsid w:val="009E72DA"/>
    <w:rsid w:val="009F70DA"/>
    <w:rsid w:val="00A02D42"/>
    <w:rsid w:val="00A03A06"/>
    <w:rsid w:val="00A10771"/>
    <w:rsid w:val="00A17323"/>
    <w:rsid w:val="00A20BC3"/>
    <w:rsid w:val="00A2743B"/>
    <w:rsid w:val="00A3537A"/>
    <w:rsid w:val="00A73DBB"/>
    <w:rsid w:val="00A7750C"/>
    <w:rsid w:val="00A8031F"/>
    <w:rsid w:val="00A8317E"/>
    <w:rsid w:val="00A90783"/>
    <w:rsid w:val="00A9558F"/>
    <w:rsid w:val="00AA3E80"/>
    <w:rsid w:val="00AB6842"/>
    <w:rsid w:val="00AD4D91"/>
    <w:rsid w:val="00B01911"/>
    <w:rsid w:val="00B0430B"/>
    <w:rsid w:val="00B072FF"/>
    <w:rsid w:val="00B13E81"/>
    <w:rsid w:val="00B26A1E"/>
    <w:rsid w:val="00B26E4C"/>
    <w:rsid w:val="00B40123"/>
    <w:rsid w:val="00B41841"/>
    <w:rsid w:val="00B578CA"/>
    <w:rsid w:val="00B70ECF"/>
    <w:rsid w:val="00B8258A"/>
    <w:rsid w:val="00B9541A"/>
    <w:rsid w:val="00BB624D"/>
    <w:rsid w:val="00BB7632"/>
    <w:rsid w:val="00BC728D"/>
    <w:rsid w:val="00BD3C2A"/>
    <w:rsid w:val="00BF1EB5"/>
    <w:rsid w:val="00BF22ED"/>
    <w:rsid w:val="00BF2A7B"/>
    <w:rsid w:val="00C0162A"/>
    <w:rsid w:val="00C0192A"/>
    <w:rsid w:val="00C02BD2"/>
    <w:rsid w:val="00C04A8A"/>
    <w:rsid w:val="00C11BAC"/>
    <w:rsid w:val="00C134BF"/>
    <w:rsid w:val="00C20D5E"/>
    <w:rsid w:val="00C242C6"/>
    <w:rsid w:val="00C36F5F"/>
    <w:rsid w:val="00C414CD"/>
    <w:rsid w:val="00C4230B"/>
    <w:rsid w:val="00C50718"/>
    <w:rsid w:val="00C62325"/>
    <w:rsid w:val="00C7034F"/>
    <w:rsid w:val="00C71AC0"/>
    <w:rsid w:val="00C73DBC"/>
    <w:rsid w:val="00C75DEA"/>
    <w:rsid w:val="00CA2F8B"/>
    <w:rsid w:val="00CB595A"/>
    <w:rsid w:val="00CB5B3A"/>
    <w:rsid w:val="00CC34F8"/>
    <w:rsid w:val="00CE26E3"/>
    <w:rsid w:val="00CF68DE"/>
    <w:rsid w:val="00D0375F"/>
    <w:rsid w:val="00D04953"/>
    <w:rsid w:val="00D0651D"/>
    <w:rsid w:val="00D2294A"/>
    <w:rsid w:val="00D31311"/>
    <w:rsid w:val="00D478F4"/>
    <w:rsid w:val="00D65AE4"/>
    <w:rsid w:val="00D67D3D"/>
    <w:rsid w:val="00D81D3C"/>
    <w:rsid w:val="00D81D53"/>
    <w:rsid w:val="00D968BC"/>
    <w:rsid w:val="00DC70B9"/>
    <w:rsid w:val="00DD2356"/>
    <w:rsid w:val="00DD7639"/>
    <w:rsid w:val="00E05E20"/>
    <w:rsid w:val="00E24B44"/>
    <w:rsid w:val="00E3689B"/>
    <w:rsid w:val="00E376CC"/>
    <w:rsid w:val="00E37CD0"/>
    <w:rsid w:val="00E500DC"/>
    <w:rsid w:val="00E51A61"/>
    <w:rsid w:val="00E52319"/>
    <w:rsid w:val="00E616D6"/>
    <w:rsid w:val="00E63658"/>
    <w:rsid w:val="00E74BC3"/>
    <w:rsid w:val="00EB5B84"/>
    <w:rsid w:val="00EC6F79"/>
    <w:rsid w:val="00ED02D6"/>
    <w:rsid w:val="00F05D9C"/>
    <w:rsid w:val="00F05F68"/>
    <w:rsid w:val="00F1092D"/>
    <w:rsid w:val="00F11EDB"/>
    <w:rsid w:val="00F266AA"/>
    <w:rsid w:val="00F31979"/>
    <w:rsid w:val="00F41EAC"/>
    <w:rsid w:val="00F472D5"/>
    <w:rsid w:val="00F50DE4"/>
    <w:rsid w:val="00F550AA"/>
    <w:rsid w:val="00F5555D"/>
    <w:rsid w:val="00F64E62"/>
    <w:rsid w:val="00F80B15"/>
    <w:rsid w:val="00F91E3B"/>
    <w:rsid w:val="00F94569"/>
    <w:rsid w:val="00FA09A5"/>
    <w:rsid w:val="00FB3F6A"/>
    <w:rsid w:val="00FC2BF6"/>
    <w:rsid w:val="00FE122B"/>
    <w:rsid w:val="00FF004A"/>
    <w:rsid w:val="00FF3894"/>
    <w:rsid w:val="00FF4FB5"/>
    <w:rsid w:val="01390371"/>
    <w:rsid w:val="01593AC0"/>
    <w:rsid w:val="016F05E9"/>
    <w:rsid w:val="01BF7DA9"/>
    <w:rsid w:val="026E76DB"/>
    <w:rsid w:val="04103637"/>
    <w:rsid w:val="048C7985"/>
    <w:rsid w:val="04FC2AC4"/>
    <w:rsid w:val="05750484"/>
    <w:rsid w:val="07100225"/>
    <w:rsid w:val="07462D58"/>
    <w:rsid w:val="077965D0"/>
    <w:rsid w:val="084244C5"/>
    <w:rsid w:val="08D26182"/>
    <w:rsid w:val="093A586D"/>
    <w:rsid w:val="09834861"/>
    <w:rsid w:val="09893DB1"/>
    <w:rsid w:val="0A8422E4"/>
    <w:rsid w:val="0B212BCE"/>
    <w:rsid w:val="0D043290"/>
    <w:rsid w:val="0D282C45"/>
    <w:rsid w:val="0D7D2069"/>
    <w:rsid w:val="0DA4101E"/>
    <w:rsid w:val="0E143F94"/>
    <w:rsid w:val="0EDA0DC0"/>
    <w:rsid w:val="0FE23D91"/>
    <w:rsid w:val="0FFB40C6"/>
    <w:rsid w:val="11726727"/>
    <w:rsid w:val="124C6F38"/>
    <w:rsid w:val="12781EDB"/>
    <w:rsid w:val="12FA0ECE"/>
    <w:rsid w:val="13DC3D21"/>
    <w:rsid w:val="15AE37EB"/>
    <w:rsid w:val="15ED62D0"/>
    <w:rsid w:val="15F33D47"/>
    <w:rsid w:val="179D4FC7"/>
    <w:rsid w:val="18392AF3"/>
    <w:rsid w:val="189632C6"/>
    <w:rsid w:val="189E1A5E"/>
    <w:rsid w:val="18A371E8"/>
    <w:rsid w:val="18C7193A"/>
    <w:rsid w:val="191F3687"/>
    <w:rsid w:val="19AF704B"/>
    <w:rsid w:val="19B1080B"/>
    <w:rsid w:val="19C104CD"/>
    <w:rsid w:val="1AA77BC7"/>
    <w:rsid w:val="1AFE7DF8"/>
    <w:rsid w:val="1B8B1D1F"/>
    <w:rsid w:val="1C091D8D"/>
    <w:rsid w:val="1CD10B16"/>
    <w:rsid w:val="1D2C37D9"/>
    <w:rsid w:val="1D580203"/>
    <w:rsid w:val="1DC839AF"/>
    <w:rsid w:val="1E146E45"/>
    <w:rsid w:val="1E877CDE"/>
    <w:rsid w:val="1EBA70F8"/>
    <w:rsid w:val="1EE94CA3"/>
    <w:rsid w:val="1F730AA4"/>
    <w:rsid w:val="1F924DFC"/>
    <w:rsid w:val="1F9A67CD"/>
    <w:rsid w:val="203B04ED"/>
    <w:rsid w:val="204611F1"/>
    <w:rsid w:val="21D8749C"/>
    <w:rsid w:val="225A3669"/>
    <w:rsid w:val="226B228E"/>
    <w:rsid w:val="22796CE2"/>
    <w:rsid w:val="23140F9B"/>
    <w:rsid w:val="23223264"/>
    <w:rsid w:val="23E50E47"/>
    <w:rsid w:val="24E36F1A"/>
    <w:rsid w:val="25C076F1"/>
    <w:rsid w:val="25C96F0A"/>
    <w:rsid w:val="25CE6C15"/>
    <w:rsid w:val="25D065AB"/>
    <w:rsid w:val="26AD333E"/>
    <w:rsid w:val="27944107"/>
    <w:rsid w:val="27F30B19"/>
    <w:rsid w:val="283C2212"/>
    <w:rsid w:val="28E107A2"/>
    <w:rsid w:val="2A280FC8"/>
    <w:rsid w:val="2A941EA3"/>
    <w:rsid w:val="2A9F6BB9"/>
    <w:rsid w:val="2B675BC2"/>
    <w:rsid w:val="2B8970A7"/>
    <w:rsid w:val="2C9F6F43"/>
    <w:rsid w:val="2CEA3FC7"/>
    <w:rsid w:val="2CF775D2"/>
    <w:rsid w:val="2CFB5129"/>
    <w:rsid w:val="2D3D455B"/>
    <w:rsid w:val="2D913EE9"/>
    <w:rsid w:val="2D9F2A91"/>
    <w:rsid w:val="312641CC"/>
    <w:rsid w:val="31745643"/>
    <w:rsid w:val="32C57F9D"/>
    <w:rsid w:val="32DD1CB7"/>
    <w:rsid w:val="331823CF"/>
    <w:rsid w:val="337703FC"/>
    <w:rsid w:val="34614E70"/>
    <w:rsid w:val="355D3219"/>
    <w:rsid w:val="35D92882"/>
    <w:rsid w:val="36046F67"/>
    <w:rsid w:val="3621510E"/>
    <w:rsid w:val="36C33DE5"/>
    <w:rsid w:val="378309A0"/>
    <w:rsid w:val="38755953"/>
    <w:rsid w:val="38F81807"/>
    <w:rsid w:val="39703EEB"/>
    <w:rsid w:val="3AAF68CC"/>
    <w:rsid w:val="3C022F2E"/>
    <w:rsid w:val="3C304CF6"/>
    <w:rsid w:val="3C7A6077"/>
    <w:rsid w:val="3CA56AE3"/>
    <w:rsid w:val="3D8F7C8C"/>
    <w:rsid w:val="3D985D1E"/>
    <w:rsid w:val="3E5616C2"/>
    <w:rsid w:val="3F404410"/>
    <w:rsid w:val="40B6326A"/>
    <w:rsid w:val="418531FE"/>
    <w:rsid w:val="43530D81"/>
    <w:rsid w:val="43C1545D"/>
    <w:rsid w:val="43EE4803"/>
    <w:rsid w:val="449B114F"/>
    <w:rsid w:val="44AB4169"/>
    <w:rsid w:val="45CD11A5"/>
    <w:rsid w:val="4621349D"/>
    <w:rsid w:val="46732818"/>
    <w:rsid w:val="476063A8"/>
    <w:rsid w:val="487B7DFA"/>
    <w:rsid w:val="48B740C3"/>
    <w:rsid w:val="48BC6665"/>
    <w:rsid w:val="48EA7F74"/>
    <w:rsid w:val="49325015"/>
    <w:rsid w:val="494F3655"/>
    <w:rsid w:val="4A500C79"/>
    <w:rsid w:val="4AA06984"/>
    <w:rsid w:val="4B640C63"/>
    <w:rsid w:val="4B755A6E"/>
    <w:rsid w:val="4B812670"/>
    <w:rsid w:val="4BBE751C"/>
    <w:rsid w:val="4C6D443F"/>
    <w:rsid w:val="4D3C73CB"/>
    <w:rsid w:val="4E7C78C3"/>
    <w:rsid w:val="4EA0220D"/>
    <w:rsid w:val="4EB96FB2"/>
    <w:rsid w:val="4EEC1008"/>
    <w:rsid w:val="4F1647A3"/>
    <w:rsid w:val="4FF77DDD"/>
    <w:rsid w:val="50303C1D"/>
    <w:rsid w:val="505978C0"/>
    <w:rsid w:val="514D52EF"/>
    <w:rsid w:val="52F32691"/>
    <w:rsid w:val="530B123D"/>
    <w:rsid w:val="546755B8"/>
    <w:rsid w:val="555231E0"/>
    <w:rsid w:val="55D83C72"/>
    <w:rsid w:val="56AF3248"/>
    <w:rsid w:val="56B72183"/>
    <w:rsid w:val="575B7280"/>
    <w:rsid w:val="57860A60"/>
    <w:rsid w:val="58D32924"/>
    <w:rsid w:val="59AC3B2A"/>
    <w:rsid w:val="59C8345A"/>
    <w:rsid w:val="5A41762B"/>
    <w:rsid w:val="5B6C00CD"/>
    <w:rsid w:val="5BA16563"/>
    <w:rsid w:val="5BFC5702"/>
    <w:rsid w:val="5C901973"/>
    <w:rsid w:val="5D726536"/>
    <w:rsid w:val="5E2D4323"/>
    <w:rsid w:val="5E7F5697"/>
    <w:rsid w:val="5F04354D"/>
    <w:rsid w:val="5FB86698"/>
    <w:rsid w:val="5FBF3511"/>
    <w:rsid w:val="5FD1583F"/>
    <w:rsid w:val="60356438"/>
    <w:rsid w:val="60CC2CDD"/>
    <w:rsid w:val="619F6539"/>
    <w:rsid w:val="61A34F3F"/>
    <w:rsid w:val="62A03858"/>
    <w:rsid w:val="62CA6F20"/>
    <w:rsid w:val="62EA6D2F"/>
    <w:rsid w:val="63581CF3"/>
    <w:rsid w:val="65410C2D"/>
    <w:rsid w:val="656B3412"/>
    <w:rsid w:val="6579609E"/>
    <w:rsid w:val="65DB55A9"/>
    <w:rsid w:val="65E97AE6"/>
    <w:rsid w:val="664256F0"/>
    <w:rsid w:val="671A3B4B"/>
    <w:rsid w:val="67B02479"/>
    <w:rsid w:val="6827516E"/>
    <w:rsid w:val="68675882"/>
    <w:rsid w:val="6883286A"/>
    <w:rsid w:val="69014BC0"/>
    <w:rsid w:val="69534691"/>
    <w:rsid w:val="699B0C66"/>
    <w:rsid w:val="69A3595F"/>
    <w:rsid w:val="6A6C16B7"/>
    <w:rsid w:val="6A973C6D"/>
    <w:rsid w:val="6BA0102C"/>
    <w:rsid w:val="6BB53792"/>
    <w:rsid w:val="6C0A1DD8"/>
    <w:rsid w:val="6C7F6D21"/>
    <w:rsid w:val="6D6115A8"/>
    <w:rsid w:val="6D6F4869"/>
    <w:rsid w:val="6D781C0C"/>
    <w:rsid w:val="6F6D675F"/>
    <w:rsid w:val="710A35B0"/>
    <w:rsid w:val="71B50503"/>
    <w:rsid w:val="723C6DF9"/>
    <w:rsid w:val="727A529A"/>
    <w:rsid w:val="72E67C90"/>
    <w:rsid w:val="739A51B5"/>
    <w:rsid w:val="73A63984"/>
    <w:rsid w:val="73CE2F5D"/>
    <w:rsid w:val="742C2525"/>
    <w:rsid w:val="748B447A"/>
    <w:rsid w:val="74981911"/>
    <w:rsid w:val="75F71609"/>
    <w:rsid w:val="765D1540"/>
    <w:rsid w:val="767201E1"/>
    <w:rsid w:val="76AD72E4"/>
    <w:rsid w:val="77904DB5"/>
    <w:rsid w:val="790A1220"/>
    <w:rsid w:val="795D48B3"/>
    <w:rsid w:val="795F53B0"/>
    <w:rsid w:val="79EA394B"/>
    <w:rsid w:val="79EE4DA3"/>
    <w:rsid w:val="7A5A3883"/>
    <w:rsid w:val="7B47744F"/>
    <w:rsid w:val="7B771343"/>
    <w:rsid w:val="7BAD5920"/>
    <w:rsid w:val="7C0D2748"/>
    <w:rsid w:val="7C646922"/>
    <w:rsid w:val="7CB95222"/>
    <w:rsid w:val="7CCD42B0"/>
    <w:rsid w:val="7CE63025"/>
    <w:rsid w:val="7D82203F"/>
    <w:rsid w:val="7E566D52"/>
    <w:rsid w:val="7F26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8"/>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7">
    <w:name w:val="Strong"/>
    <w:basedOn w:val="6"/>
    <w:qFormat/>
    <w:uiPriority w:val="22"/>
    <w:rPr>
      <w:b/>
      <w:bCs/>
    </w:rPr>
  </w:style>
  <w:style w:type="character" w:styleId="8">
    <w:name w:val="FollowedHyperlink"/>
    <w:basedOn w:val="6"/>
    <w:unhideWhenUsed/>
    <w:qFormat/>
    <w:uiPriority w:val="99"/>
    <w:rPr>
      <w:rFonts w:hint="eastAsia" w:ascii="微软雅黑" w:hAnsi="微软雅黑" w:eastAsia="微软雅黑" w:cs="微软雅黑"/>
      <w:color w:val="333333"/>
      <w:sz w:val="18"/>
      <w:szCs w:val="18"/>
      <w:u w:val="none"/>
    </w:rPr>
  </w:style>
  <w:style w:type="character" w:styleId="9">
    <w:name w:val="Emphasis"/>
    <w:basedOn w:val="6"/>
    <w:qFormat/>
    <w:uiPriority w:val="20"/>
  </w:style>
  <w:style w:type="character" w:styleId="10">
    <w:name w:val="HTML Definition"/>
    <w:basedOn w:val="6"/>
    <w:unhideWhenUsed/>
    <w:qFormat/>
    <w:uiPriority w:val="99"/>
  </w:style>
  <w:style w:type="character" w:styleId="11">
    <w:name w:val="HTML Variable"/>
    <w:basedOn w:val="6"/>
    <w:unhideWhenUsed/>
    <w:qFormat/>
    <w:uiPriority w:val="99"/>
  </w:style>
  <w:style w:type="character" w:styleId="12">
    <w:name w:val="Hyperlink"/>
    <w:basedOn w:val="6"/>
    <w:unhideWhenUsed/>
    <w:qFormat/>
    <w:uiPriority w:val="99"/>
    <w:rPr>
      <w:rFonts w:ascii="微软雅黑" w:hAnsi="微软雅黑" w:eastAsia="微软雅黑" w:cs="微软雅黑"/>
      <w:color w:val="333333"/>
      <w:sz w:val="18"/>
      <w:szCs w:val="18"/>
      <w:u w:val="none"/>
    </w:rPr>
  </w:style>
  <w:style w:type="character" w:styleId="13">
    <w:name w:val="HTML Code"/>
    <w:basedOn w:val="6"/>
    <w:unhideWhenUsed/>
    <w:qFormat/>
    <w:uiPriority w:val="99"/>
    <w:rPr>
      <w:rFonts w:ascii="Courier New" w:hAnsi="Courier New"/>
      <w:sz w:val="20"/>
    </w:rPr>
  </w:style>
  <w:style w:type="character" w:styleId="14">
    <w:name w:val="HTML Cite"/>
    <w:basedOn w:val="6"/>
    <w:unhideWhenUsed/>
    <w:qFormat/>
    <w:uiPriority w:val="99"/>
  </w:style>
  <w:style w:type="table" w:styleId="16">
    <w:name w:val="Table Grid"/>
    <w:basedOn w:val="15"/>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页眉 Char"/>
    <w:basedOn w:val="6"/>
    <w:link w:val="4"/>
    <w:semiHidden/>
    <w:qFormat/>
    <w:uiPriority w:val="99"/>
    <w:rPr>
      <w:sz w:val="18"/>
      <w:szCs w:val="18"/>
    </w:rPr>
  </w:style>
  <w:style w:type="character" w:customStyle="1" w:styleId="18">
    <w:name w:val="页脚 Char"/>
    <w:basedOn w:val="6"/>
    <w:link w:val="3"/>
    <w:semiHidden/>
    <w:qFormat/>
    <w:uiPriority w:val="99"/>
    <w:rPr>
      <w:sz w:val="18"/>
      <w:szCs w:val="18"/>
    </w:rPr>
  </w:style>
  <w:style w:type="paragraph" w:customStyle="1" w:styleId="19">
    <w:name w:val="列出段落1"/>
    <w:basedOn w:val="1"/>
    <w:qFormat/>
    <w:uiPriority w:val="34"/>
    <w:pPr>
      <w:ind w:firstLine="420" w:firstLineChars="200"/>
    </w:pPr>
  </w:style>
  <w:style w:type="paragraph" w:customStyle="1" w:styleId="20">
    <w:name w:val="报告正文样式"/>
    <w:basedOn w:val="1"/>
    <w:link w:val="21"/>
    <w:qFormat/>
    <w:uiPriority w:val="0"/>
    <w:pPr>
      <w:widowControl/>
      <w:spacing w:beforeLines="50" w:afterLines="50" w:line="360" w:lineRule="auto"/>
      <w:ind w:firstLine="480" w:firstLineChars="200"/>
    </w:pPr>
    <w:rPr>
      <w:rFonts w:cs="宋体" w:asciiTheme="minorEastAsia" w:hAnsiTheme="minorEastAsia"/>
      <w:color w:val="000000" w:themeColor="text1"/>
      <w:kern w:val="0"/>
      <w:sz w:val="24"/>
      <w:szCs w:val="21"/>
      <w14:textFill>
        <w14:solidFill>
          <w14:schemeClr w14:val="tx1"/>
        </w14:solidFill>
      </w14:textFill>
    </w:rPr>
  </w:style>
  <w:style w:type="character" w:customStyle="1" w:styleId="21">
    <w:name w:val="报告正文样式 Char"/>
    <w:basedOn w:val="6"/>
    <w:link w:val="20"/>
    <w:qFormat/>
    <w:uiPriority w:val="0"/>
    <w:rPr>
      <w:rFonts w:cs="宋体" w:asciiTheme="minorEastAsia" w:hAnsiTheme="minorEastAsia"/>
      <w:color w:val="000000" w:themeColor="text1"/>
      <w:kern w:val="0"/>
      <w:sz w:val="24"/>
      <w:szCs w:val="21"/>
      <w14:textFill>
        <w14:solidFill>
          <w14:schemeClr w14:val="tx1"/>
        </w14:solidFill>
      </w14:textFill>
    </w:rPr>
  </w:style>
  <w:style w:type="paragraph" w:customStyle="1" w:styleId="22">
    <w:name w:val="图标题"/>
    <w:basedOn w:val="1"/>
    <w:link w:val="23"/>
    <w:qFormat/>
    <w:uiPriority w:val="0"/>
    <w:pPr>
      <w:spacing w:afterLines="50"/>
      <w:ind w:firstLine="422" w:firstLineChars="200"/>
      <w:jc w:val="center"/>
    </w:pPr>
    <w:rPr>
      <w:rFonts w:ascii="Times New Roman" w:hAnsi="Times New Roman" w:eastAsia="黑体" w:cs="Times New Roman"/>
      <w:szCs w:val="21"/>
    </w:rPr>
  </w:style>
  <w:style w:type="character" w:customStyle="1" w:styleId="23">
    <w:name w:val="图标题 Char"/>
    <w:basedOn w:val="6"/>
    <w:link w:val="22"/>
    <w:qFormat/>
    <w:uiPriority w:val="0"/>
    <w:rPr>
      <w:rFonts w:ascii="Times New Roman" w:hAnsi="Times New Roman" w:eastAsia="黑体" w:cs="Times New Roman"/>
      <w:szCs w:val="21"/>
    </w:rPr>
  </w:style>
  <w:style w:type="paragraph" w:customStyle="1" w:styleId="24">
    <w:name w:val="图表标题"/>
    <w:basedOn w:val="1"/>
    <w:link w:val="26"/>
    <w:qFormat/>
    <w:uiPriority w:val="0"/>
    <w:pPr>
      <w:widowControl/>
      <w:spacing w:afterLines="50" w:line="360" w:lineRule="auto"/>
      <w:ind w:firstLine="422" w:firstLineChars="200"/>
      <w:jc w:val="center"/>
    </w:pPr>
    <w:rPr>
      <w:rFonts w:ascii="Times New Roman" w:hAnsi="Times New Roman" w:eastAsia="宋体" w:cs="Times New Roman"/>
      <w:szCs w:val="21"/>
    </w:rPr>
  </w:style>
  <w:style w:type="paragraph" w:customStyle="1" w:styleId="25">
    <w:name w:val="济南图标题"/>
    <w:basedOn w:val="22"/>
    <w:link w:val="27"/>
    <w:qFormat/>
    <w:uiPriority w:val="0"/>
    <w:pPr>
      <w:spacing w:afterLines="0"/>
      <w:ind w:firstLine="0" w:firstLineChars="0"/>
    </w:pPr>
  </w:style>
  <w:style w:type="character" w:customStyle="1" w:styleId="26">
    <w:name w:val="图表标题 Char"/>
    <w:basedOn w:val="6"/>
    <w:link w:val="24"/>
    <w:qFormat/>
    <w:uiPriority w:val="0"/>
    <w:rPr>
      <w:rFonts w:ascii="Times New Roman" w:hAnsi="Times New Roman" w:eastAsia="宋体" w:cs="Times New Roman"/>
      <w:szCs w:val="21"/>
    </w:rPr>
  </w:style>
  <w:style w:type="character" w:customStyle="1" w:styleId="27">
    <w:name w:val="济南图标题 Char"/>
    <w:basedOn w:val="23"/>
    <w:link w:val="25"/>
    <w:qFormat/>
    <w:uiPriority w:val="0"/>
    <w:rPr>
      <w:rFonts w:ascii="Times New Roman" w:hAnsi="Times New Roman" w:eastAsia="黑体" w:cs="Times New Roman"/>
      <w:szCs w:val="21"/>
    </w:rPr>
  </w:style>
  <w:style w:type="character" w:customStyle="1" w:styleId="28">
    <w:name w:val="批注框文本 Char"/>
    <w:basedOn w:val="6"/>
    <w:link w:val="2"/>
    <w:semiHidden/>
    <w:qFormat/>
    <w:uiPriority w:val="99"/>
    <w:rPr>
      <w:sz w:val="18"/>
      <w:szCs w:val="18"/>
    </w:rPr>
  </w:style>
  <w:style w:type="table" w:customStyle="1" w:styleId="29">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新报告三级"/>
    <w:basedOn w:val="1"/>
    <w:link w:val="31"/>
    <w:qFormat/>
    <w:uiPriority w:val="0"/>
    <w:pPr>
      <w:spacing w:before="260" w:afterLines="50" w:line="415" w:lineRule="auto"/>
      <w:outlineLvl w:val="1"/>
    </w:pPr>
    <w:rPr>
      <w:rFonts w:ascii="黑体" w:hAnsi="黑体" w:eastAsia="黑体" w:cs="Times New Roman"/>
      <w:b/>
      <w:bCs/>
      <w:sz w:val="28"/>
      <w:szCs w:val="28"/>
    </w:rPr>
  </w:style>
  <w:style w:type="character" w:customStyle="1" w:styleId="31">
    <w:name w:val="新报告三级 Char"/>
    <w:basedOn w:val="6"/>
    <w:link w:val="30"/>
    <w:qFormat/>
    <w:uiPriority w:val="0"/>
    <w:rPr>
      <w:rFonts w:ascii="黑体" w:hAnsi="黑体" w:eastAsia="黑体" w:cs="Times New Roman"/>
      <w:b/>
      <w:bCs/>
      <w:sz w:val="28"/>
      <w:szCs w:val="28"/>
    </w:rPr>
  </w:style>
  <w:style w:type="character" w:customStyle="1" w:styleId="32">
    <w:name w:val="nav"/>
    <w:basedOn w:val="6"/>
    <w:qFormat/>
    <w:uiPriority w:val="0"/>
  </w:style>
  <w:style w:type="paragraph" w:customStyle="1" w:styleId="33">
    <w:name w:val="列出段落2"/>
    <w:basedOn w:val="1"/>
    <w:unhideWhenUsed/>
    <w:qFormat/>
    <w:uiPriority w:val="99"/>
    <w:pPr>
      <w:ind w:firstLine="420" w:firstLineChars="200"/>
    </w:pPr>
  </w:style>
  <w:style w:type="paragraph" w:customStyle="1" w:styleId="34">
    <w:name w:val="列出段落3"/>
    <w:basedOn w:val="1"/>
    <w:unhideWhenUsed/>
    <w:qFormat/>
    <w:uiPriority w:val="99"/>
    <w:pPr>
      <w:ind w:firstLine="420" w:firstLineChars="200"/>
    </w:pPr>
  </w:style>
  <w:style w:type="character" w:customStyle="1" w:styleId="35">
    <w:name w:val="font41"/>
    <w:basedOn w:val="6"/>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6434;&#26434;&#26434;\&#21103;&#26412;&#23601;&#19994;&#36136;&#37327;&#25253;&#21578;&#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1103;&#26412;&#23601;&#19994;&#36136;&#37327;&#25253;&#21578;&#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d\Desktop\&#25307;&#23601;&#22788;&#25991;&#20214;\&#21103;&#26412;&#23601;&#19994;&#36136;&#37327;&#25253;&#21578;&#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d\Desktop\&#25307;&#23601;&#22788;&#25991;&#20214;\&#21103;&#26412;&#23601;&#19994;&#36136;&#37327;&#25253;&#21578;&#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各系男女比例</a:t>
            </a:r>
            <a:endParaRPr lang="zh-CN" altLang="en-US"/>
          </a:p>
        </c:rich>
      </c:tx>
      <c:layout/>
      <c:overlay val="0"/>
      <c:spPr>
        <a:noFill/>
        <a:ln>
          <a:noFill/>
        </a:ln>
        <a:effectLst/>
      </c:spPr>
    </c:title>
    <c:autoTitleDeleted val="0"/>
    <c:plotArea>
      <c:layout/>
      <c:barChart>
        <c:barDir val="bar"/>
        <c:grouping val="clustered"/>
        <c:varyColors val="0"/>
        <c:ser>
          <c:idx val="0"/>
          <c:order val="0"/>
          <c:tx>
            <c:strRef>
              <c:f>[副本就业质量报告数据.xlsx]Sheet4!$B$1</c:f>
              <c:strCache>
                <c:ptCount val="1"/>
                <c:pt idx="0">
                  <c:v>男</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[副本就业质量报告数据.xlsx]Sheet4!$A$2:$A$8</c:f>
              <c:strCache>
                <c:ptCount val="7"/>
                <c:pt idx="0">
                  <c:v>经济管理系</c:v>
                </c:pt>
                <c:pt idx="1">
                  <c:v>计算机系</c:v>
                </c:pt>
                <c:pt idx="2">
                  <c:v>电气与动力工程系</c:v>
                </c:pt>
                <c:pt idx="3">
                  <c:v>地质测绘工程系</c:v>
                </c:pt>
                <c:pt idx="4">
                  <c:v>矿业工程系</c:v>
                </c:pt>
                <c:pt idx="5">
                  <c:v>安全工程系</c:v>
                </c:pt>
                <c:pt idx="6">
                  <c:v>机电工程系</c:v>
                </c:pt>
              </c:strCache>
            </c:strRef>
          </c:cat>
          <c:val>
            <c:numRef>
              <c:f>[副本就业质量报告数据.xlsx]Sheet4!$B$2:$B$8</c:f>
              <c:numCache>
                <c:formatCode>General</c:formatCode>
                <c:ptCount val="7"/>
                <c:pt idx="0">
                  <c:v>299</c:v>
                </c:pt>
                <c:pt idx="1">
                  <c:v>333</c:v>
                </c:pt>
                <c:pt idx="2">
                  <c:v>85</c:v>
                </c:pt>
                <c:pt idx="3">
                  <c:v>111</c:v>
                </c:pt>
                <c:pt idx="4">
                  <c:v>257</c:v>
                </c:pt>
                <c:pt idx="5">
                  <c:v>99</c:v>
                </c:pt>
                <c:pt idx="6">
                  <c:v>163</c:v>
                </c:pt>
              </c:numCache>
            </c:numRef>
          </c:val>
        </c:ser>
        <c:ser>
          <c:idx val="1"/>
          <c:order val="1"/>
          <c:tx>
            <c:strRef>
              <c:f>[副本就业质量报告数据.xlsx]Sheet4!$C$1</c:f>
              <c:strCache>
                <c:ptCount val="1"/>
                <c:pt idx="0">
                  <c:v>女</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[副本就业质量报告数据.xlsx]Sheet4!$A$2:$A$8</c:f>
              <c:strCache>
                <c:ptCount val="7"/>
                <c:pt idx="0">
                  <c:v>经济管理系</c:v>
                </c:pt>
                <c:pt idx="1">
                  <c:v>计算机系</c:v>
                </c:pt>
                <c:pt idx="2">
                  <c:v>电气与动力工程系</c:v>
                </c:pt>
                <c:pt idx="3">
                  <c:v>地质测绘工程系</c:v>
                </c:pt>
                <c:pt idx="4">
                  <c:v>矿业工程系</c:v>
                </c:pt>
                <c:pt idx="5">
                  <c:v>安全工程系</c:v>
                </c:pt>
                <c:pt idx="6">
                  <c:v>机电工程系</c:v>
                </c:pt>
              </c:strCache>
            </c:strRef>
          </c:cat>
          <c:val>
            <c:numRef>
              <c:f>[副本就业质量报告数据.xlsx]Sheet4!$C$2:$C$8</c:f>
              <c:numCache>
                <c:formatCode>General</c:formatCode>
                <c:ptCount val="7"/>
                <c:pt idx="0">
                  <c:v>906</c:v>
                </c:pt>
                <c:pt idx="1">
                  <c:v>163</c:v>
                </c:pt>
                <c:pt idx="2">
                  <c:v>17</c:v>
                </c:pt>
                <c:pt idx="3">
                  <c:v>16</c:v>
                </c:pt>
                <c:pt idx="4">
                  <c:v>69</c:v>
                </c:pt>
                <c:pt idx="5">
                  <c:v>0</c:v>
                </c:pt>
                <c:pt idx="6">
                  <c:v>12</c:v>
                </c:pt>
              </c:numCache>
            </c:numRef>
          </c:val>
        </c:ser>
        <c:dLbls>
          <c:showLegendKey val="0"/>
          <c:showVal val="1"/>
          <c:showCatName val="0"/>
          <c:showSerName val="0"/>
          <c:showPercent val="0"/>
          <c:showBubbleSize val="0"/>
        </c:dLbls>
        <c:gapWidth val="75"/>
        <c:axId val="331903360"/>
        <c:axId val="331905280"/>
      </c:barChart>
      <c:catAx>
        <c:axId val="331903360"/>
        <c:scaling>
          <c:orientation val="minMax"/>
        </c:scaling>
        <c:delete val="0"/>
        <c:axPos val="l"/>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系部名称</a:t>
                </a:r>
                <a:endParaRPr lang="zh-CN" altLang="en-US"/>
              </a:p>
            </c:rich>
          </c:tx>
          <c:layout>
            <c:manualLayout>
              <c:xMode val="edge"/>
              <c:yMode val="edge"/>
              <c:x val="0.0868055555555556"/>
              <c:y val="0.0415972222222222"/>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905280"/>
        <c:crosses val="autoZero"/>
        <c:auto val="1"/>
        <c:lblAlgn val="ctr"/>
        <c:lblOffset val="100"/>
        <c:noMultiLvlLbl val="0"/>
      </c:catAx>
      <c:valAx>
        <c:axId val="3319052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人数</a:t>
                </a:r>
                <a:endParaRPr lang="zh-CN" altLang="en-US"/>
              </a:p>
            </c:rich>
          </c:tx>
          <c:layout>
            <c:manualLayout>
              <c:xMode val="edge"/>
              <c:yMode val="edge"/>
              <c:x val="0.896361111111111"/>
              <c:y val="0.830860454518727"/>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903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Sheet7!$A$1:$E$1</c:f>
              <c:strCache>
                <c:ptCount val="5"/>
                <c:pt idx="0">
                  <c:v>协议就业</c:v>
                </c:pt>
                <c:pt idx="1">
                  <c:v>项目就业</c:v>
                </c:pt>
                <c:pt idx="2">
                  <c:v>升学</c:v>
                </c:pt>
                <c:pt idx="3">
                  <c:v>灵活就业</c:v>
                </c:pt>
                <c:pt idx="4">
                  <c:v>生源地待业</c:v>
                </c:pt>
              </c:strCache>
            </c:strRef>
          </c:cat>
          <c:val>
            <c:numRef>
              <c:f>Sheet7!$A$2:$E$2</c:f>
              <c:numCache>
                <c:formatCode>General</c:formatCode>
                <c:ptCount val="5"/>
                <c:pt idx="0">
                  <c:v>206</c:v>
                </c:pt>
                <c:pt idx="1">
                  <c:v>16</c:v>
                </c:pt>
                <c:pt idx="2">
                  <c:v>182</c:v>
                </c:pt>
                <c:pt idx="3">
                  <c:v>2039</c:v>
                </c:pt>
                <c:pt idx="4">
                  <c:v>87</c:v>
                </c:pt>
              </c:numCache>
            </c:numRef>
          </c:val>
        </c:ser>
        <c:dLbls>
          <c:showLegendKey val="0"/>
          <c:showVal val="0"/>
          <c:showCatName val="0"/>
          <c:showSerName val="0"/>
          <c:showPercent val="0"/>
          <c:showBubbleSize val="0"/>
        </c:dLbls>
        <c:gapWidth val="219"/>
        <c:overlap val="-27"/>
        <c:axId val="331930624"/>
        <c:axId val="331936512"/>
      </c:barChart>
      <c:catAx>
        <c:axId val="331930624"/>
        <c:scaling>
          <c:orientation val="minMax"/>
        </c:scaling>
        <c:delete val="0"/>
        <c:axPos val="b"/>
        <c:numFmt formatCode="General" sourceLinked="1"/>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936512"/>
        <c:crosses val="autoZero"/>
        <c:auto val="0"/>
        <c:lblAlgn val="ctr"/>
        <c:lblOffset val="100"/>
        <c:noMultiLvlLbl val="0"/>
      </c:catAx>
      <c:valAx>
        <c:axId val="331936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in"/>
        <c:minorTickMark val="in"/>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93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46259144115"/>
          <c:y val="0.0243516722901324"/>
          <c:w val="0.798881202468287"/>
          <c:h val="0.680118589827434"/>
        </c:manualLayout>
      </c:layout>
      <c:barChart>
        <c:barDir val="col"/>
        <c:grouping val="clustered"/>
        <c:varyColors val="0"/>
        <c:ser>
          <c:idx val="0"/>
          <c:order val="0"/>
          <c:tx>
            <c:strRef>
              <c:f>[副本就业质量报告数据.xlsx]Sheet6!$B$1</c:f>
              <c:strCache>
                <c:ptCount val="1"/>
                <c:pt idx="0">
                  <c:v>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[副本就业质量报告数据.xlsx]Sheet6!$A$2:$A$27</c:f>
              <c:strCache>
                <c:ptCount val="26"/>
                <c:pt idx="0">
                  <c:v>湖南</c:v>
                </c:pt>
                <c:pt idx="1">
                  <c:v>黑龙江</c:v>
                </c:pt>
                <c:pt idx="2">
                  <c:v>吉林</c:v>
                </c:pt>
                <c:pt idx="3">
                  <c:v>江西</c:v>
                </c:pt>
                <c:pt idx="4">
                  <c:v>辽宁</c:v>
                </c:pt>
                <c:pt idx="5">
                  <c:v>新疆</c:v>
                </c:pt>
                <c:pt idx="6">
                  <c:v>湖北</c:v>
                </c:pt>
                <c:pt idx="7">
                  <c:v>广西</c:v>
                </c:pt>
                <c:pt idx="8">
                  <c:v>贵州</c:v>
                </c:pt>
                <c:pt idx="9">
                  <c:v>浙江</c:v>
                </c:pt>
                <c:pt idx="10">
                  <c:v>重庆</c:v>
                </c:pt>
                <c:pt idx="11">
                  <c:v>海南</c:v>
                </c:pt>
                <c:pt idx="12">
                  <c:v>四川</c:v>
                </c:pt>
                <c:pt idx="13">
                  <c:v>云南</c:v>
                </c:pt>
                <c:pt idx="14">
                  <c:v>福建</c:v>
                </c:pt>
                <c:pt idx="15">
                  <c:v>安徽</c:v>
                </c:pt>
                <c:pt idx="16">
                  <c:v>天津市</c:v>
                </c:pt>
                <c:pt idx="17">
                  <c:v>陕西</c:v>
                </c:pt>
                <c:pt idx="18">
                  <c:v>上海</c:v>
                </c:pt>
                <c:pt idx="19">
                  <c:v>江苏</c:v>
                </c:pt>
                <c:pt idx="20">
                  <c:v>山东</c:v>
                </c:pt>
                <c:pt idx="21">
                  <c:v>广东</c:v>
                </c:pt>
                <c:pt idx="22">
                  <c:v>河北</c:v>
                </c:pt>
                <c:pt idx="23">
                  <c:v>河南</c:v>
                </c:pt>
                <c:pt idx="24">
                  <c:v>内蒙古</c:v>
                </c:pt>
                <c:pt idx="25">
                  <c:v>北京市</c:v>
                </c:pt>
              </c:strCache>
            </c:strRef>
          </c:cat>
          <c:val>
            <c:numRef>
              <c:f>[副本就业质量报告数据.xlsx]Sheet6!$B$2:$B$27</c:f>
              <c:numCache>
                <c:formatCode>General</c:formatCode>
                <c:ptCount val="26"/>
                <c:pt idx="0">
                  <c:v>2</c:v>
                </c:pt>
                <c:pt idx="1">
                  <c:v>2</c:v>
                </c:pt>
                <c:pt idx="2">
                  <c:v>2</c:v>
                </c:pt>
                <c:pt idx="3">
                  <c:v>2</c:v>
                </c:pt>
                <c:pt idx="4">
                  <c:v>2</c:v>
                </c:pt>
                <c:pt idx="5">
                  <c:v>4</c:v>
                </c:pt>
                <c:pt idx="6">
                  <c:v>4</c:v>
                </c:pt>
                <c:pt idx="7">
                  <c:v>4</c:v>
                </c:pt>
                <c:pt idx="8">
                  <c:v>4</c:v>
                </c:pt>
                <c:pt idx="9">
                  <c:v>6</c:v>
                </c:pt>
                <c:pt idx="10">
                  <c:v>7</c:v>
                </c:pt>
                <c:pt idx="11">
                  <c:v>7</c:v>
                </c:pt>
                <c:pt idx="12">
                  <c:v>8</c:v>
                </c:pt>
                <c:pt idx="13">
                  <c:v>8</c:v>
                </c:pt>
                <c:pt idx="14">
                  <c:v>10</c:v>
                </c:pt>
                <c:pt idx="15">
                  <c:v>11</c:v>
                </c:pt>
                <c:pt idx="16">
                  <c:v>18</c:v>
                </c:pt>
                <c:pt idx="17">
                  <c:v>29</c:v>
                </c:pt>
                <c:pt idx="18">
                  <c:v>32</c:v>
                </c:pt>
                <c:pt idx="19">
                  <c:v>36</c:v>
                </c:pt>
                <c:pt idx="20">
                  <c:v>36</c:v>
                </c:pt>
                <c:pt idx="21">
                  <c:v>34</c:v>
                </c:pt>
                <c:pt idx="22">
                  <c:v>34</c:v>
                </c:pt>
                <c:pt idx="23">
                  <c:v>42</c:v>
                </c:pt>
                <c:pt idx="24">
                  <c:v>42</c:v>
                </c:pt>
                <c:pt idx="25">
                  <c:v>124</c:v>
                </c:pt>
              </c:numCache>
            </c:numRef>
          </c:val>
        </c:ser>
        <c:dLbls>
          <c:showLegendKey val="0"/>
          <c:showVal val="1"/>
          <c:showCatName val="0"/>
          <c:showSerName val="0"/>
          <c:showPercent val="0"/>
          <c:showBubbleSize val="0"/>
        </c:dLbls>
        <c:gapWidth val="219"/>
        <c:overlap val="-27"/>
        <c:axId val="147187200"/>
        <c:axId val="147189120"/>
      </c:barChart>
      <c:lineChart>
        <c:grouping val="standard"/>
        <c:varyColors val="0"/>
        <c:dLbls>
          <c:showLegendKey val="0"/>
          <c:showVal val="1"/>
          <c:showCatName val="0"/>
          <c:showSerName val="0"/>
          <c:showPercent val="0"/>
          <c:showBubbleSize val="0"/>
        </c:dLbls>
        <c:marker val="0"/>
        <c:smooth val="0"/>
        <c:axId val="332584448"/>
        <c:axId val="332585984"/>
        <c:extLst>
          <c:ext xmlns:c15="http://schemas.microsoft.com/office/drawing/2012/chart" uri="{02D57815-91ED-43cb-92C2-25804820EDAC}">
            <c15:filteredLineSeries>
              <c15:ser>
                <c:idx val="1"/>
                <c:order val="1"/>
                <c:tx>
                  <c:strRef>
                    <c:extLst>
                      <c:ext uri="{02D57815-91ED-43cb-92C2-25804820EDAC}">
                        <c15:formulaRef>
                          <c15:sqref>[副本就业质量报告数据.xlsx]Sheet6!$C$1</c15:sqref>
                        </c15:formulaRef>
                      </c:ext>
                    </c:extLst>
                    <c:strCache>
                      <c:ptCount val="1"/>
                      <c:pt idx="0">
                        <c:v>比例</c:v>
                      </c:pt>
                    </c:strCache>
                  </c:strRef>
                </c:tx>
                <c:spPr>
                  <a:ln w="28575" cap="rnd" cmpd="sng" algn="ctr">
                    <a:solidFill>
                      <a:schemeClr val="accent2"/>
                    </a:solidFill>
                    <a:prstDash val="solid"/>
                    <a:round/>
                  </a:ln>
                  <a:effectLst/>
                </c:spPr>
                <c:marker>
                  <c:symbol val="none"/>
                </c:marker>
                <c:dLbls>
                  <c:dLbl>
                    <c:idx val="25"/>
                    <c:layout>
                      <c:manualLayout>
                        <c:x val="-0.0418033033615197"/>
                        <c:y val="-0.02430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extLst>
                      <c:ext uri="{02D57815-91ED-43cb-92C2-25804820EDAC}">
                        <c15:fullRef>
                          <c15:sqref/>
                        </c15:fullRef>
                        <c15:formulaRef>
                          <c15:sqref>[副本就业质量报告数据.xlsx]Sheet6!$A$2:$A$27</c15:sqref>
                        </c15:formulaRef>
                      </c:ext>
                    </c:extLst>
                    <c:numCache>
                      <c:ptCount val="0"/>
                    </c:numCache>
                  </c:numRef>
                </c:cat>
                <c:val>
                  <c:numRef>
                    <c:extLst>
                      <c:ext uri="{02D57815-91ED-43cb-92C2-25804820EDAC}">
                        <c15:formulaRef>
                          <c15:sqref>{0.00392156862745098,0.00392156862745098,0.00392156862745098,0.00392156862745098,0.00392156862745098,0.00784313725490196,0.00784313725490196,0.00784313725490196,0.00784313725490196,0.0117647058823529,0.0137254901960784,0.0137254901960784,0.0156862745098039,0.0156862745098039,0.0196078431372549,0.0215686274509804,0.0352941176470588,0.0568627450980392,0.0627450980392157,0.0705882352941176,0.0705882352941176,0.0666666666666667,0.0666666666666667,0.0823529411764706,0.0823529411764706,0.243137254901961}</c15:sqref>
                        </c15:formulaRef>
                      </c:ext>
                    </c:extLst>
                    <c:numCache>
                      <c:formatCode>0.00%</c:formatCode>
                      <c:ptCount val="26"/>
                      <c:pt idx="0">
                        <c:v>0.00392156862745098</c:v>
                      </c:pt>
                      <c:pt idx="1">
                        <c:v>0.00392156862745098</c:v>
                      </c:pt>
                      <c:pt idx="2">
                        <c:v>0.00392156862745098</c:v>
                      </c:pt>
                      <c:pt idx="3">
                        <c:v>0.00392156862745098</c:v>
                      </c:pt>
                      <c:pt idx="4">
                        <c:v>0.00392156862745098</c:v>
                      </c:pt>
                      <c:pt idx="5">
                        <c:v>0.00784313725490196</c:v>
                      </c:pt>
                      <c:pt idx="6">
                        <c:v>0.00784313725490196</c:v>
                      </c:pt>
                      <c:pt idx="7">
                        <c:v>0.00784313725490196</c:v>
                      </c:pt>
                      <c:pt idx="8">
                        <c:v>0.00784313725490196</c:v>
                      </c:pt>
                      <c:pt idx="9">
                        <c:v>0.0117647058823529</c:v>
                      </c:pt>
                      <c:pt idx="10">
                        <c:v>0.0137254901960784</c:v>
                      </c:pt>
                      <c:pt idx="11">
                        <c:v>0.0137254901960784</c:v>
                      </c:pt>
                      <c:pt idx="12">
                        <c:v>0.0156862745098039</c:v>
                      </c:pt>
                      <c:pt idx="13">
                        <c:v>0.0156862745098039</c:v>
                      </c:pt>
                      <c:pt idx="14">
                        <c:v>0.0196078431372549</c:v>
                      </c:pt>
                      <c:pt idx="15">
                        <c:v>0.0215686274509804</c:v>
                      </c:pt>
                      <c:pt idx="16">
                        <c:v>0.0352941176470588</c:v>
                      </c:pt>
                      <c:pt idx="17">
                        <c:v>0.0568627450980392</c:v>
                      </c:pt>
                      <c:pt idx="18">
                        <c:v>0.0627450980392157</c:v>
                      </c:pt>
                      <c:pt idx="19">
                        <c:v>0.0705882352941176</c:v>
                      </c:pt>
                      <c:pt idx="20">
                        <c:v>0.0705882352941176</c:v>
                      </c:pt>
                      <c:pt idx="21">
                        <c:v>0.0666666666666667</c:v>
                      </c:pt>
                      <c:pt idx="22">
                        <c:v>0.0666666666666667</c:v>
                      </c:pt>
                      <c:pt idx="23">
                        <c:v>0.0823529411764706</c:v>
                      </c:pt>
                      <c:pt idx="24">
                        <c:v>0.0823529411764706</c:v>
                      </c:pt>
                      <c:pt idx="25">
                        <c:v>0.243137254901961</c:v>
                      </c:pt>
                    </c:numCache>
                  </c:numRef>
                </c:val>
                <c:smooth val="0"/>
              </c15:ser>
            </c15:filteredLineSeries>
          </c:ext>
        </c:extLst>
      </c:lineChart>
      <c:catAx>
        <c:axId val="14718720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省份</a:t>
                </a:r>
                <a:endParaRPr lang="zh-CN" alt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189120"/>
        <c:crosses val="autoZero"/>
        <c:auto val="1"/>
        <c:lblAlgn val="ctr"/>
        <c:lblOffset val="100"/>
        <c:noMultiLvlLbl val="0"/>
      </c:catAx>
      <c:valAx>
        <c:axId val="1471891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人数</a:t>
                </a:r>
                <a:endParaRPr lang="zh-CN" altLang="en-US"/>
              </a:p>
            </c:rich>
          </c:tx>
          <c:layout>
            <c:manualLayout>
              <c:xMode val="edge"/>
              <c:yMode val="edge"/>
              <c:x val="0.0166701988715961"/>
              <c:y val="0.297268518518518"/>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187200"/>
        <c:crosses val="autoZero"/>
        <c:crossBetween val="between"/>
      </c:valAx>
      <c:catAx>
        <c:axId val="33258444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2585984"/>
        <c:crosses val="autoZero"/>
        <c:auto val="1"/>
        <c:lblAlgn val="ctr"/>
        <c:lblOffset val="100"/>
        <c:noMultiLvlLbl val="0"/>
      </c:catAx>
      <c:valAx>
        <c:axId val="332585984"/>
        <c:scaling>
          <c:orientation val="minMax"/>
        </c:scaling>
        <c:delete val="1"/>
        <c:axPos val="r"/>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258444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000936461113"/>
          <c:y val="0.129275877387828"/>
          <c:w val="0.706901718406143"/>
          <c:h val="0.561839182585518"/>
        </c:manualLayout>
      </c:layout>
      <c:barChart>
        <c:barDir val="col"/>
        <c:grouping val="clustered"/>
        <c:varyColors val="0"/>
        <c:ser>
          <c:idx val="0"/>
          <c:order val="0"/>
          <c:tx>
            <c:strRef>
              <c:f>[副本就业质量报告数据.xlsx]毕业生就业地域分布!$B$3</c:f>
              <c:strCache>
                <c:ptCount val="1"/>
                <c:pt idx="0">
                  <c:v>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[副本就业质量报告数据.xlsx]毕业生就业地域分布!$A$4:$A$14</c:f>
              <c:strCache>
                <c:ptCount val="11"/>
                <c:pt idx="0">
                  <c:v>山西省朔州市</c:v>
                </c:pt>
                <c:pt idx="1">
                  <c:v>山西省阳泉市</c:v>
                </c:pt>
                <c:pt idx="2">
                  <c:v>山西省临汾市</c:v>
                </c:pt>
                <c:pt idx="3">
                  <c:v>山西省晋城市</c:v>
                </c:pt>
                <c:pt idx="4">
                  <c:v>山西省忻州市</c:v>
                </c:pt>
                <c:pt idx="5">
                  <c:v>山西省大同市</c:v>
                </c:pt>
                <c:pt idx="6">
                  <c:v>山西省长治市</c:v>
                </c:pt>
                <c:pt idx="7">
                  <c:v>山西省运城市</c:v>
                </c:pt>
                <c:pt idx="8">
                  <c:v>山西省吕梁市</c:v>
                </c:pt>
                <c:pt idx="9">
                  <c:v>山西省晋中市</c:v>
                </c:pt>
                <c:pt idx="10">
                  <c:v>山西省太原市</c:v>
                </c:pt>
              </c:strCache>
            </c:strRef>
          </c:cat>
          <c:val>
            <c:numRef>
              <c:f>[副本就业质量报告数据.xlsx]毕业生就业地域分布!$B$4:$B$14</c:f>
              <c:numCache>
                <c:formatCode>General</c:formatCode>
                <c:ptCount val="11"/>
                <c:pt idx="0">
                  <c:v>53</c:v>
                </c:pt>
                <c:pt idx="1">
                  <c:v>67</c:v>
                </c:pt>
                <c:pt idx="2">
                  <c:v>75</c:v>
                </c:pt>
                <c:pt idx="3">
                  <c:v>77</c:v>
                </c:pt>
                <c:pt idx="4">
                  <c:v>89</c:v>
                </c:pt>
                <c:pt idx="5">
                  <c:v>89</c:v>
                </c:pt>
                <c:pt idx="6">
                  <c:v>98</c:v>
                </c:pt>
                <c:pt idx="7">
                  <c:v>101</c:v>
                </c:pt>
                <c:pt idx="8">
                  <c:v>125</c:v>
                </c:pt>
                <c:pt idx="9">
                  <c:v>357</c:v>
                </c:pt>
                <c:pt idx="10">
                  <c:v>889</c:v>
                </c:pt>
              </c:numCache>
            </c:numRef>
          </c:val>
        </c:ser>
        <c:dLbls>
          <c:showLegendKey val="0"/>
          <c:showVal val="1"/>
          <c:showCatName val="0"/>
          <c:showSerName val="0"/>
          <c:showPercent val="0"/>
          <c:showBubbleSize val="0"/>
        </c:dLbls>
        <c:gapWidth val="219"/>
        <c:overlap val="-27"/>
        <c:axId val="332288000"/>
        <c:axId val="332290688"/>
      </c:barChart>
      <c:lineChart>
        <c:grouping val="standard"/>
        <c:varyColors val="0"/>
        <c:ser>
          <c:idx val="1"/>
          <c:order val="1"/>
          <c:tx>
            <c:strRef>
              <c:f>[副本就业质量报告数据.xlsx]毕业生就业地域分布!$C$3</c:f>
              <c:strCache>
                <c:ptCount val="1"/>
                <c:pt idx="0">
                  <c:v>比例</c:v>
                </c:pt>
              </c:strCache>
            </c:strRef>
          </c:tx>
          <c:spPr>
            <a:ln w="28575" cap="rnd" cmpd="sng" algn="ctr">
              <a:solidFill>
                <a:schemeClr val="accent2"/>
              </a:solidFill>
              <a:prstDash val="solid"/>
              <a:round/>
            </a:ln>
            <a:effectLst/>
          </c:spPr>
          <c:marker>
            <c:symbol val="none"/>
          </c:marker>
          <c:dLbls>
            <c:dLbl>
              <c:idx val="0"/>
              <c:layout>
                <c:manualLayout>
                  <c:x val="-0.00874107238034325"/>
                  <c:y val="0.01851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6192303592368"/>
                  <c:y val="0.0254629629629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2334505916214"/>
                  <c:y val="0.02523148148148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74107238034325"/>
                  <c:y val="0.02199074074074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74107238034325"/>
                  <c:y val="0.02523148148148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74107238034325"/>
                  <c:y val="0.022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1268521479586"/>
                  <c:y val="0.01574074074074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724869416906513"/>
                  <c:y val="0.01273148148148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874107238034325"/>
                  <c:y val="0.006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02334505916214"/>
                  <c:y val="0.009259259259259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103758927619657"/>
                  <c:y val="0.00115740740740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[副本就业质量报告数据.xlsx]毕业生就业地域分布!$A$4:$A$14</c:f>
              <c:strCache>
                <c:ptCount val="11"/>
                <c:pt idx="0">
                  <c:v>山西省朔州市</c:v>
                </c:pt>
                <c:pt idx="1">
                  <c:v>山西省阳泉市</c:v>
                </c:pt>
                <c:pt idx="2">
                  <c:v>山西省临汾市</c:v>
                </c:pt>
                <c:pt idx="3">
                  <c:v>山西省晋城市</c:v>
                </c:pt>
                <c:pt idx="4">
                  <c:v>山西省忻州市</c:v>
                </c:pt>
                <c:pt idx="5">
                  <c:v>山西省大同市</c:v>
                </c:pt>
                <c:pt idx="6">
                  <c:v>山西省长治市</c:v>
                </c:pt>
                <c:pt idx="7">
                  <c:v>山西省运城市</c:v>
                </c:pt>
                <c:pt idx="8">
                  <c:v>山西省吕梁市</c:v>
                </c:pt>
                <c:pt idx="9">
                  <c:v>山西省晋中市</c:v>
                </c:pt>
                <c:pt idx="10">
                  <c:v>山西省太原市</c:v>
                </c:pt>
              </c:strCache>
            </c:strRef>
          </c:cat>
          <c:val>
            <c:numRef>
              <c:f>[副本就业质量报告数据.xlsx]毕业生就业地域分布!$C$4:$C$14</c:f>
              <c:numCache>
                <c:formatCode>0.00%</c:formatCode>
                <c:ptCount val="11"/>
                <c:pt idx="0">
                  <c:v>0.0262376237623762</c:v>
                </c:pt>
                <c:pt idx="1">
                  <c:v>0.0331683168316832</c:v>
                </c:pt>
                <c:pt idx="2">
                  <c:v>0.0371287128712871</c:v>
                </c:pt>
                <c:pt idx="3">
                  <c:v>0.0381188118811881</c:v>
                </c:pt>
                <c:pt idx="4">
                  <c:v>0.0440594059405941</c:v>
                </c:pt>
                <c:pt idx="5">
                  <c:v>0.0440594059405941</c:v>
                </c:pt>
                <c:pt idx="6">
                  <c:v>0.0485148514851485</c:v>
                </c:pt>
                <c:pt idx="7">
                  <c:v>0.05</c:v>
                </c:pt>
                <c:pt idx="8">
                  <c:v>0.0618811881188119</c:v>
                </c:pt>
                <c:pt idx="9">
                  <c:v>0.176732673267327</c:v>
                </c:pt>
                <c:pt idx="10">
                  <c:v>0.44009900990099</c:v>
                </c:pt>
              </c:numCache>
            </c:numRef>
          </c:val>
          <c:smooth val="0"/>
        </c:ser>
        <c:dLbls>
          <c:showLegendKey val="0"/>
          <c:showVal val="1"/>
          <c:showCatName val="0"/>
          <c:showSerName val="0"/>
          <c:showPercent val="0"/>
          <c:showBubbleSize val="0"/>
        </c:dLbls>
        <c:marker val="0"/>
        <c:smooth val="0"/>
        <c:axId val="332313344"/>
        <c:axId val="332314880"/>
      </c:lineChart>
      <c:catAx>
        <c:axId val="3322880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290688"/>
        <c:crosses val="autoZero"/>
        <c:auto val="1"/>
        <c:lblAlgn val="ctr"/>
        <c:lblOffset val="100"/>
        <c:noMultiLvlLbl val="0"/>
      </c:catAx>
      <c:valAx>
        <c:axId val="33229068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人数</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288000"/>
        <c:crosses val="autoZero"/>
        <c:crossBetween val="between"/>
      </c:valAx>
      <c:catAx>
        <c:axId val="33231334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2314880"/>
        <c:crosses val="autoZero"/>
        <c:auto val="1"/>
        <c:lblAlgn val="ctr"/>
        <c:lblOffset val="100"/>
        <c:noMultiLvlLbl val="0"/>
      </c:catAx>
      <c:valAx>
        <c:axId val="332314880"/>
        <c:scaling>
          <c:orientation val="minMax"/>
        </c:scaling>
        <c:delete val="0"/>
        <c:axPos val="r"/>
        <c:title>
          <c:tx>
            <c:rich>
              <a:bodyPr rot="0" spcFirstLastPara="0" vertOverflow="ellipsis" vert="eaVert"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比例</a:t>
                </a:r>
                <a:endParaRPr lang="zh-CN" altLang="en-US"/>
              </a:p>
            </c:rich>
          </c:tx>
          <c:layout/>
          <c:overlay val="0"/>
          <c:spPr>
            <a:noFill/>
            <a:ln>
              <a:noFill/>
            </a:ln>
            <a:effectLst/>
          </c:spPr>
        </c:title>
        <c:numFmt formatCode="0.00%"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1334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10E1E-E38E-4101-A319-B7D5858559FE}">
  <ds:schemaRefs/>
</ds:datastoreItem>
</file>

<file path=docProps/app.xml><?xml version="1.0" encoding="utf-8"?>
<Properties xmlns="http://schemas.openxmlformats.org/officeDocument/2006/extended-properties" xmlns:vt="http://schemas.openxmlformats.org/officeDocument/2006/docPropsVTypes">
  <Template>Normal</Template>
  <Pages>17</Pages>
  <Words>1392</Words>
  <Characters>7937</Characters>
  <Lines>66</Lines>
  <Paragraphs>18</Paragraphs>
  <TotalTime>77</TotalTime>
  <ScaleCrop>false</ScaleCrop>
  <LinksUpToDate>false</LinksUpToDate>
  <CharactersWithSpaces>9311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2018-12-20T04:59:00Z</dcterms:created>
  <dc:creator>lenovo</dc:creator>
  <cp:lastModifiedBy>张志伟</cp:lastModifiedBy>
  <cp:lastPrinted>2016-12-20T07:12:00Z</cp:lastPrinted>
  <dcterms:modified xsi:type="dcterms:W3CDTF">2018-12-28T02:13:23Z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